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9D" w:rsidRPr="0033162F" w:rsidRDefault="00092A9D" w:rsidP="00092A9D">
      <w:pPr>
        <w:tabs>
          <w:tab w:val="left" w:pos="6015"/>
        </w:tabs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E259FFF" wp14:editId="54779FA0">
            <wp:extent cx="819150" cy="1152525"/>
            <wp:effectExtent l="0" t="0" r="0" b="0"/>
            <wp:docPr id="11" name="Рисунок 1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9D" w:rsidRPr="0033162F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ar-SA"/>
        </w:rPr>
      </w:pPr>
      <w:r w:rsidRPr="003316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ar-SA"/>
        </w:rPr>
        <w:t>Контрольно-счетная комиссия</w:t>
      </w:r>
    </w:p>
    <w:p w:rsidR="00092A9D" w:rsidRPr="0033162F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ar-SA"/>
        </w:rPr>
      </w:pPr>
      <w:r w:rsidRPr="003316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 w:eastAsia="ar-SA"/>
        </w:rPr>
        <w:t>городского округа город Михайловка</w:t>
      </w:r>
    </w:p>
    <w:p w:rsidR="00092A9D" w:rsidRPr="0033162F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33162F">
        <w:rPr>
          <w:rFonts w:ascii="Times New Roman" w:eastAsia="Calibri" w:hAnsi="Times New Roman" w:cs="Times New Roman"/>
          <w:b/>
          <w:color w:val="000000" w:themeColor="text1"/>
          <w:lang w:eastAsia="ar-SA"/>
        </w:rPr>
        <w:t>Волгоградской области</w:t>
      </w:r>
    </w:p>
    <w:p w:rsidR="008600F7" w:rsidRPr="0033162F" w:rsidRDefault="008600F7" w:rsidP="00092A9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</w:p>
    <w:p w:rsidR="00092A9D" w:rsidRPr="0033162F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ЗАКЛЮЧЕНИЕ</w:t>
      </w:r>
    </w:p>
    <w:p w:rsidR="00092A9D" w:rsidRPr="0033162F" w:rsidRDefault="00092A9D" w:rsidP="00092A9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92A9D" w:rsidRPr="0033162F" w:rsidRDefault="00C92089" w:rsidP="00092A9D">
      <w:pPr>
        <w:autoSpaceDE w:val="0"/>
        <w:spacing w:after="0" w:line="100" w:lineRule="atLeast"/>
        <w:jc w:val="center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№ </w:t>
      </w:r>
      <w:r w:rsidR="00EE356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</w:t>
      </w:r>
      <w:r w:rsidR="0033162F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4</w:t>
      </w:r>
      <w:r w:rsidR="005740F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- 2</w:t>
      </w:r>
      <w:r w:rsidR="0033162F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6</w:t>
      </w:r>
      <w:r w:rsidR="003A15A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/04/201</w:t>
      </w:r>
      <w:r w:rsidR="0033162F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</w:t>
      </w:r>
      <w:r w:rsidR="00092A9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</w:t>
      </w:r>
      <w:r w:rsidR="00092A9D"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>.</w:t>
      </w:r>
    </w:p>
    <w:p w:rsidR="00092A9D" w:rsidRPr="0033162F" w:rsidRDefault="00092A9D" w:rsidP="00092A9D">
      <w:pPr>
        <w:autoSpaceDE w:val="0"/>
        <w:spacing w:after="0" w:line="100" w:lineRule="atLeast"/>
        <w:jc w:val="center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</w:p>
    <w:p w:rsidR="00092A9D" w:rsidRPr="0033162F" w:rsidRDefault="00092A9D" w:rsidP="008600F7">
      <w:pPr>
        <w:autoSpaceDE w:val="0"/>
        <w:spacing w:after="0" w:line="100" w:lineRule="atLeast"/>
        <w:jc w:val="center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К проекту решения Михайловской городской Думы «Об исполнении бюджета городского округа город Михайловка </w:t>
      </w:r>
      <w:r w:rsidR="00C7525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Волгоградской области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за 201</w:t>
      </w:r>
      <w:r w:rsidR="008600F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год».</w:t>
      </w:r>
    </w:p>
    <w:p w:rsidR="00092A9D" w:rsidRPr="0033162F" w:rsidRDefault="00092A9D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</w:p>
    <w:p w:rsidR="00092A9D" w:rsidRPr="0033162F" w:rsidRDefault="00092A9D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 </w:t>
      </w:r>
      <w:proofErr w:type="gramStart"/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В соответствии с планом работы контрольно-счетной комиссии городского округа город Михайловка Волгоградской области, утвержденным распоряжением председателя </w:t>
      </w:r>
      <w:r w:rsidR="006467EB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КСК от 29.12.201</w:t>
      </w:r>
      <w:r w:rsidR="008600F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8</w:t>
      </w:r>
      <w:r w:rsidR="006467EB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№ </w:t>
      </w:r>
      <w:r w:rsidR="008600F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38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 в целях подготовки заключения на годовой отчёт об исполнении бюджета за 201</w:t>
      </w:r>
      <w:r w:rsidR="008600F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8 год, с 17</w:t>
      </w:r>
      <w:r w:rsidR="006467EB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.04.201</w:t>
      </w:r>
      <w:r w:rsidR="0033162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9 по 26.04.2019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г.,  председателем КСК В.Г. Гудковой, консультантом КСК У.С. </w:t>
      </w:r>
      <w:proofErr w:type="spellStart"/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Антонцевой</w:t>
      </w:r>
      <w:proofErr w:type="spellEnd"/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 консультантом КСК Петровой Ю.П.,  проведена экспертно-аналитическая оценка проекта решения Михайловской городской</w:t>
      </w:r>
      <w:proofErr w:type="gramEnd"/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Думы Волгоградской области  «Об исполнении бюджета городского округа город Михайловка </w:t>
      </w:r>
      <w:r w:rsidR="006467EB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Волгоградской области за 201</w:t>
      </w:r>
      <w:r w:rsidR="008600F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год».</w:t>
      </w:r>
    </w:p>
    <w:p w:rsidR="00092A9D" w:rsidRPr="0033162F" w:rsidRDefault="00092A9D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</w:t>
      </w:r>
    </w:p>
    <w:p w:rsidR="00092A9D" w:rsidRPr="0033162F" w:rsidRDefault="00092A9D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 xml:space="preserve">Общие положения </w:t>
      </w:r>
    </w:p>
    <w:p w:rsidR="00092A9D" w:rsidRPr="0033162F" w:rsidRDefault="00092A9D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Бюджетный кодекс Российской Федерации;</w:t>
      </w:r>
    </w:p>
    <w:p w:rsidR="00092A9D" w:rsidRPr="0033162F" w:rsidRDefault="00092A9D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Федеральный закон от 06.10.2003 № 131-ФЗ «Об общих принципах организации местного самоуправления в Российской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ab/>
        <w:t>Федерации;</w:t>
      </w:r>
    </w:p>
    <w:p w:rsidR="00092A9D" w:rsidRPr="0033162F" w:rsidRDefault="00092A9D" w:rsidP="008600F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33162F">
        <w:rPr>
          <w:rFonts w:ascii="Calibri" w:eastAsia="Calibri" w:hAnsi="Calibri" w:cs="Calibri"/>
          <w:color w:val="000000" w:themeColor="text1"/>
          <w:lang w:eastAsia="ar-SA"/>
        </w:rPr>
        <w:t xml:space="preserve">              </w:t>
      </w:r>
      <w:r w:rsidRPr="0033162F">
        <w:rPr>
          <w:rFonts w:ascii="Times New Roman" w:eastAsia="Calibri" w:hAnsi="Times New Roman" w:cs="Times New Roman"/>
          <w:color w:val="000000" w:themeColor="text1"/>
          <w:lang w:eastAsia="ar-SA"/>
        </w:rPr>
        <w:t>Устав городского округа город Михайловка;</w:t>
      </w:r>
    </w:p>
    <w:p w:rsidR="00092A9D" w:rsidRPr="0033162F" w:rsidRDefault="00092A9D" w:rsidP="008600F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Calibri" w:eastAsia="Calibri" w:hAnsi="Calibri" w:cs="Calibri"/>
          <w:color w:val="000000" w:themeColor="text1"/>
          <w:lang w:eastAsia="ar-SA"/>
        </w:rPr>
        <w:t xml:space="preserve">             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Федеральный закон от 07.02.2011 № 6-ФЗ «Об общих принципах организации и деятельности контрольно-счетных органов субъектов РФ и муниципальных образований»;</w:t>
      </w:r>
    </w:p>
    <w:p w:rsidR="00092A9D" w:rsidRPr="0033162F" w:rsidRDefault="00092A9D" w:rsidP="008600F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Положение о контрольно-счетной комиссии городского округа город Михайловка, утвержденное решением Михайловской городской Думы от 28.12.2009 года № 482;</w:t>
      </w:r>
    </w:p>
    <w:p w:rsidR="00092A9D" w:rsidRPr="0033162F" w:rsidRDefault="00092A9D" w:rsidP="008600F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Положение о бюджетном процессе в городском округе город Михайловка, утвержденное решением Михайловской городской Думы от 31.03.2014 года № 867;</w:t>
      </w:r>
    </w:p>
    <w:p w:rsidR="00092A9D" w:rsidRPr="0033162F" w:rsidRDefault="006467EB" w:rsidP="008600F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План КСК на 201</w:t>
      </w:r>
      <w:r w:rsidR="008600F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</w:t>
      </w:r>
      <w:r w:rsidR="00092A9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год, утвержденный распоряжением председателя контрольн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о-счетной комиссии от 29.12.201</w:t>
      </w:r>
      <w:r w:rsidR="008600F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№ </w:t>
      </w:r>
      <w:r w:rsidR="008600F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38</w:t>
      </w:r>
      <w:r w:rsidR="00092A9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</w:t>
      </w:r>
    </w:p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 xml:space="preserve"> Цель проверки</w:t>
      </w:r>
    </w:p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 xml:space="preserve">           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Установление соответствия отчета об исполнении бюджета городского округа город Михайловка положениям нормативных правовых актов по бюджетному процессу, в том числе Бюджетному кодексу Российской Федерации, решениям Михайловской городской Думы, иным муниципальным правовым актам.</w:t>
      </w:r>
    </w:p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Установление полноты и достоверности отчета об исполнении бюджета городского округа город Михайловка за 201</w:t>
      </w:r>
      <w:r w:rsidR="008600F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год.</w:t>
      </w:r>
    </w:p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 xml:space="preserve"> Объект проверки</w:t>
      </w:r>
    </w:p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Отчет об исполнении бюджета городского округа город Михайловка за 201</w:t>
      </w:r>
      <w:r w:rsidR="008600F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год.</w:t>
      </w:r>
    </w:p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</w:p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lastRenderedPageBreak/>
        <w:t xml:space="preserve">            При подготовке заключения использованы материалы экспертно-аналитических и контрольных мероприятий, проведенных контрольно-счетной комиссией в 201</w:t>
      </w:r>
      <w:r w:rsidR="008600F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году и текущем периоде 201</w:t>
      </w:r>
      <w:r w:rsidR="008600F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года.</w:t>
      </w:r>
    </w:p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>Соответствие отче</w:t>
      </w:r>
      <w:r w:rsidR="006467EB"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>та об исполнении бюджета за 201</w:t>
      </w:r>
      <w:r w:rsidR="008600F7"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 xml:space="preserve"> год Бюджетному кодексу Российской Федерации и Положению о бюджетном процессе.</w:t>
      </w:r>
    </w:p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В соответствии со ст.264.4 БК РФ и п.3 ст. 52  положения о бюджетном процессе, отчет об исполнении бюджета городского округа город Михайловка за 201</w:t>
      </w:r>
      <w:r w:rsidR="008600F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 представлен Администрацией в Михайловскую городскую Думу </w:t>
      </w:r>
      <w:r w:rsidR="006467E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в установленный срок </w:t>
      </w:r>
      <w:r w:rsidR="00504D6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28</w:t>
      </w:r>
      <w:r w:rsidR="006467E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.03.2018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года.</w:t>
      </w:r>
    </w:p>
    <w:p w:rsidR="00092A9D" w:rsidRPr="0033162F" w:rsidRDefault="00092A9D" w:rsidP="00092A9D">
      <w:pPr>
        <w:tabs>
          <w:tab w:val="left" w:pos="36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          </w:t>
      </w:r>
      <w:r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Ежеквартальные сведения о ходе исполнения местного  бюджета и о численности муниципальных служащих, работниках муниципальных учреждений с указанием фактических затрат на их денежное содержание опубликованы в </w:t>
      </w:r>
      <w:r w:rsidR="00DA49A3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газете «П</w:t>
      </w:r>
      <w:r w:rsidR="008A0EEE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ризыв</w:t>
      </w:r>
      <w:r w:rsidR="0033162F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» </w:t>
      </w:r>
      <w:r w:rsidR="008A0EEE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30.04.2018</w:t>
      </w:r>
      <w:r w:rsidR="00DA49A3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г.,</w:t>
      </w:r>
      <w:r w:rsidR="00531607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«Призыв»</w:t>
      </w:r>
      <w:r w:rsidR="008A0EEE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№ 61</w:t>
      </w:r>
      <w:r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</w:t>
      </w:r>
      <w:r w:rsidR="00DA49A3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17</w:t>
      </w:r>
      <w:r w:rsidR="008A0EEE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540) от 31.07.2018</w:t>
      </w:r>
      <w:r w:rsidR="00DA49A3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г., </w:t>
      </w:r>
      <w:r w:rsidR="00531607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«Призыв» </w:t>
      </w:r>
      <w:r w:rsidR="008A0EEE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№ 87</w:t>
      </w:r>
      <w:r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</w:t>
      </w:r>
      <w:r w:rsidR="00DA49A3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17</w:t>
      </w:r>
      <w:r w:rsidR="008A0EEE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566) от 30</w:t>
      </w:r>
      <w:r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.1</w:t>
      </w:r>
      <w:r w:rsidR="008A0EEE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.201</w:t>
      </w:r>
      <w:r w:rsidR="008A0EEE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г.</w:t>
      </w:r>
    </w:p>
    <w:p w:rsidR="00092A9D" w:rsidRPr="0033162F" w:rsidRDefault="00092A9D" w:rsidP="00092A9D">
      <w:pPr>
        <w:tabs>
          <w:tab w:val="left" w:pos="36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 xml:space="preserve"> Общая характеристика отчета об исполнении бюджета городского </w:t>
      </w:r>
      <w:r w:rsidR="006467EB"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 xml:space="preserve"> округа город Михайловка за 201</w:t>
      </w:r>
      <w:r w:rsidR="008600F7"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 xml:space="preserve"> год.</w:t>
      </w:r>
    </w:p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</w:p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 xml:space="preserve">             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В соответствии с Положением о бюджетном процессе, непосредственное составление бюджетной отчетности городского округа город Михайловка осуществляет комитет по финансам администрации городского  округа город Михайловка.</w:t>
      </w:r>
    </w:p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val="en-US"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Проект Решения об исполнении бюджета городского округа представлен на рассмотрение в Михайловскую городскую Думу в следующих параметрах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val="en-US" w:eastAsia="ar-SA"/>
        </w:rPr>
        <w:t>:</w:t>
      </w:r>
    </w:p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тыс. руб.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559"/>
        <w:gridCol w:w="1082"/>
        <w:gridCol w:w="1044"/>
        <w:gridCol w:w="851"/>
        <w:gridCol w:w="1134"/>
        <w:gridCol w:w="992"/>
      </w:tblGrid>
      <w:tr w:rsidR="0033162F" w:rsidRPr="0033162F" w:rsidTr="00092A9D">
        <w:trPr>
          <w:cantSplit/>
          <w:trHeight w:hRule="exact" w:val="54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092A9D" w:rsidP="00092A9D">
            <w:pPr>
              <w:snapToGrid w:val="0"/>
              <w:spacing w:after="0" w:line="1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A9D" w:rsidRPr="0033162F" w:rsidRDefault="00092A9D" w:rsidP="008810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Утверждено на 201</w:t>
            </w:r>
            <w:r w:rsidR="008810C5"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8</w:t>
            </w: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A9D" w:rsidRPr="0033162F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Фактическое исполнение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092A9D" w:rsidP="004C4E0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Отклонение </w:t>
            </w:r>
            <w:r w:rsidR="004C4E08"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от первоначальных плановых показателей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33162F" w:rsidRDefault="004C4E08" w:rsidP="0016634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Отклонение от</w:t>
            </w:r>
            <w:r w:rsidR="00092A9D"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уточненных п</w:t>
            </w:r>
            <w:r w:rsidR="00166347"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</w:t>
            </w: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казателей, утвержденных</w:t>
            </w:r>
            <w:r w:rsidR="00166347"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Решением </w:t>
            </w:r>
            <w:proofErr w:type="spellStart"/>
            <w:r w:rsidR="00166347"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МгД</w:t>
            </w:r>
            <w:proofErr w:type="spellEnd"/>
          </w:p>
        </w:tc>
      </w:tr>
      <w:tr w:rsidR="0033162F" w:rsidRPr="0033162F" w:rsidTr="004C4E08">
        <w:trPr>
          <w:cantSplit/>
          <w:trHeight w:hRule="exact" w:val="66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092A9D" w:rsidP="00092A9D">
            <w:pP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Первоначальные плановые показатели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166347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Показатели, утвержденные Решением </w:t>
            </w:r>
            <w:proofErr w:type="spellStart"/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МгД</w:t>
            </w:r>
            <w:proofErr w:type="spellEnd"/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A9D" w:rsidRPr="0033162F" w:rsidRDefault="00092A9D" w:rsidP="00092A9D">
            <w:pP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092A9D" w:rsidP="00092A9D">
            <w:pP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33162F" w:rsidRDefault="00092A9D" w:rsidP="00092A9D">
            <w:pP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</w:tr>
      <w:tr w:rsidR="0033162F" w:rsidRPr="0033162F" w:rsidTr="00092A9D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092A9D" w:rsidP="00092A9D">
            <w:pP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092A9D" w:rsidP="00092A9D">
            <w:pP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092A9D" w:rsidP="00092A9D">
            <w:pP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A9D" w:rsidRPr="0033162F" w:rsidRDefault="00092A9D" w:rsidP="00092A9D">
            <w:pP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Абсолютное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Относительное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Абсолютное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33162F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Относительное</w:t>
            </w:r>
          </w:p>
        </w:tc>
      </w:tr>
      <w:tr w:rsidR="0033162F" w:rsidRPr="0033162F" w:rsidTr="00092A9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092A9D" w:rsidP="00092A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Общий объем доходов  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504D68" w:rsidP="00BE6DC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1398284</w:t>
            </w:r>
            <w:r w:rsidR="00092A9D" w:rsidRPr="003316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BE6DC7" w:rsidRPr="003316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00248F" w:rsidP="0000248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1641586</w:t>
            </w:r>
            <w:r w:rsidR="00504D68"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504D68" w:rsidP="002F40B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1644809,0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4C4E08" w:rsidP="004C4E08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246524</w:t>
            </w:r>
            <w:r w:rsidR="002F40BE"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4C4E08" w:rsidP="002F40BE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+17,6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1B4F9F" w:rsidP="002F40B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+3222,9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33162F" w:rsidRDefault="001B4F9F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0,2</w:t>
            </w:r>
          </w:p>
        </w:tc>
      </w:tr>
      <w:tr w:rsidR="0033162F" w:rsidRPr="0033162F" w:rsidTr="00092A9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092A9D" w:rsidP="00092A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Общий объем расходов            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504D68" w:rsidP="00BE6DC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1398284</w:t>
            </w:r>
            <w:r w:rsidR="00092A9D" w:rsidRPr="003316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BE6DC7" w:rsidRPr="003316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972667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1729157,6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4C4E08" w:rsidP="00092A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1668623,0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4C4E08" w:rsidP="00092A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270338,6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4C4E08" w:rsidP="004C4E08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+19</w:t>
            </w:r>
            <w:r w:rsidR="002F40BE"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1B4F9F" w:rsidP="002F40B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-60534</w:t>
            </w:r>
            <w:r w:rsidR="00092A9D"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33162F" w:rsidRDefault="008B021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-3,5</w:t>
            </w:r>
          </w:p>
        </w:tc>
      </w:tr>
      <w:tr w:rsidR="0033162F" w:rsidRPr="0033162F" w:rsidTr="00092A9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092A9D" w:rsidP="00092A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Дефицит,</w:t>
            </w:r>
          </w:p>
          <w:p w:rsidR="00092A9D" w:rsidRPr="0033162F" w:rsidRDefault="00092A9D" w:rsidP="00092A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Профицит</w:t>
            </w:r>
            <w:proofErr w:type="gramStart"/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(-)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972667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87571,5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4C4E08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23814,0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4C4E08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23814,0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2A9D" w:rsidRPr="0033162F" w:rsidRDefault="00092A9D" w:rsidP="001B4F9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-</w:t>
            </w:r>
            <w:r w:rsidR="001B4F9F"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63757</w:t>
            </w:r>
            <w:r w:rsidR="002F40BE"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9D" w:rsidRPr="0033162F" w:rsidRDefault="00092A9D" w:rsidP="00092A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тыс. руб.                       </w:t>
      </w: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355"/>
        <w:gridCol w:w="1453"/>
        <w:gridCol w:w="1524"/>
        <w:gridCol w:w="1672"/>
        <w:gridCol w:w="1491"/>
      </w:tblGrid>
      <w:tr w:rsidR="0033162F" w:rsidRPr="0033162F" w:rsidTr="00092A9D">
        <w:tc>
          <w:tcPr>
            <w:tcW w:w="1985" w:type="dxa"/>
            <w:shd w:val="clear" w:color="auto" w:fill="auto"/>
          </w:tcPr>
          <w:p w:rsidR="00092A9D" w:rsidRPr="0033162F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092A9D" w:rsidRPr="0033162F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План на 201</w:t>
            </w:r>
            <w:r w:rsidR="008B021D"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8</w:t>
            </w: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441" w:type="dxa"/>
            <w:shd w:val="clear" w:color="auto" w:fill="auto"/>
          </w:tcPr>
          <w:p w:rsidR="00092A9D" w:rsidRPr="0033162F" w:rsidRDefault="00166347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Показатели, утвержденные Решением </w:t>
            </w:r>
            <w:proofErr w:type="spellStart"/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МгД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092A9D" w:rsidRPr="0033162F" w:rsidRDefault="008B021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Исполнение бюджета за 2018</w:t>
            </w:r>
            <w:r w:rsidR="00092A9D"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 xml:space="preserve"> год</w:t>
            </w:r>
          </w:p>
          <w:p w:rsidR="00092A9D" w:rsidRPr="0033162F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672" w:type="dxa"/>
            <w:shd w:val="clear" w:color="auto" w:fill="auto"/>
          </w:tcPr>
          <w:p w:rsidR="00092A9D" w:rsidRPr="0033162F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% исполнения первоначального плана</w:t>
            </w:r>
          </w:p>
        </w:tc>
        <w:tc>
          <w:tcPr>
            <w:tcW w:w="1296" w:type="dxa"/>
            <w:shd w:val="clear" w:color="auto" w:fill="auto"/>
          </w:tcPr>
          <w:p w:rsidR="00092A9D" w:rsidRPr="0033162F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 xml:space="preserve">% исполнения к </w:t>
            </w:r>
            <w:r w:rsidR="00A05B08"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Показателям, утвержденным Решением </w:t>
            </w:r>
            <w:proofErr w:type="spellStart"/>
            <w:r w:rsidR="00A05B08"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МгД</w:t>
            </w:r>
            <w:proofErr w:type="spellEnd"/>
          </w:p>
        </w:tc>
      </w:tr>
      <w:tr w:rsidR="0033162F" w:rsidRPr="0033162F" w:rsidTr="00092A9D">
        <w:tc>
          <w:tcPr>
            <w:tcW w:w="1985" w:type="dxa"/>
            <w:shd w:val="clear" w:color="auto" w:fill="auto"/>
          </w:tcPr>
          <w:p w:rsidR="00092A9D" w:rsidRPr="0033162F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Доходы бюджета</w:t>
            </w:r>
          </w:p>
        </w:tc>
        <w:tc>
          <w:tcPr>
            <w:tcW w:w="1417" w:type="dxa"/>
            <w:shd w:val="clear" w:color="auto" w:fill="auto"/>
          </w:tcPr>
          <w:p w:rsidR="00092A9D" w:rsidRPr="0033162F" w:rsidRDefault="001F4842" w:rsidP="00BE6DC7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1653044</w:t>
            </w:r>
            <w:r w:rsidR="00092A9D" w:rsidRPr="003316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3316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auto"/>
          </w:tcPr>
          <w:p w:rsidR="00092A9D" w:rsidRPr="0033162F" w:rsidRDefault="001F4842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1641586,1</w:t>
            </w:r>
          </w:p>
        </w:tc>
        <w:tc>
          <w:tcPr>
            <w:tcW w:w="1582" w:type="dxa"/>
            <w:shd w:val="clear" w:color="auto" w:fill="auto"/>
          </w:tcPr>
          <w:p w:rsidR="00092A9D" w:rsidRPr="0033162F" w:rsidRDefault="009670AC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1644809,0</w:t>
            </w:r>
          </w:p>
        </w:tc>
        <w:tc>
          <w:tcPr>
            <w:tcW w:w="1672" w:type="dxa"/>
            <w:shd w:val="clear" w:color="auto" w:fill="auto"/>
          </w:tcPr>
          <w:p w:rsidR="00092A9D" w:rsidRPr="0033162F" w:rsidRDefault="009670AC" w:rsidP="009670AC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99</w:t>
            </w:r>
            <w:r w:rsidR="0084717A"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092A9D" w:rsidRPr="0033162F" w:rsidRDefault="009670AC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100,2</w:t>
            </w:r>
          </w:p>
        </w:tc>
      </w:tr>
      <w:tr w:rsidR="0033162F" w:rsidRPr="0033162F" w:rsidTr="00092A9D">
        <w:tc>
          <w:tcPr>
            <w:tcW w:w="1985" w:type="dxa"/>
            <w:shd w:val="clear" w:color="auto" w:fill="auto"/>
          </w:tcPr>
          <w:p w:rsidR="00092A9D" w:rsidRPr="0033162F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 xml:space="preserve">- в т. ч. </w:t>
            </w:r>
          </w:p>
          <w:p w:rsidR="00092A9D" w:rsidRPr="0033162F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налоговые и неналоговые</w:t>
            </w:r>
          </w:p>
        </w:tc>
        <w:tc>
          <w:tcPr>
            <w:tcW w:w="1417" w:type="dxa"/>
            <w:shd w:val="clear" w:color="auto" w:fill="auto"/>
          </w:tcPr>
          <w:p w:rsidR="00092A9D" w:rsidRPr="0033162F" w:rsidRDefault="001F4842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793936,9</w:t>
            </w:r>
          </w:p>
        </w:tc>
        <w:tc>
          <w:tcPr>
            <w:tcW w:w="1441" w:type="dxa"/>
            <w:shd w:val="clear" w:color="auto" w:fill="auto"/>
          </w:tcPr>
          <w:p w:rsidR="00092A9D" w:rsidRPr="0033162F" w:rsidRDefault="001F4842" w:rsidP="001F4842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793936</w:t>
            </w:r>
            <w:r w:rsidR="0084717A"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82" w:type="dxa"/>
            <w:shd w:val="clear" w:color="auto" w:fill="auto"/>
          </w:tcPr>
          <w:p w:rsidR="00092A9D" w:rsidRPr="0033162F" w:rsidRDefault="009670AC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798328,9</w:t>
            </w:r>
          </w:p>
        </w:tc>
        <w:tc>
          <w:tcPr>
            <w:tcW w:w="1672" w:type="dxa"/>
            <w:shd w:val="clear" w:color="auto" w:fill="auto"/>
          </w:tcPr>
          <w:p w:rsidR="00092A9D" w:rsidRPr="0033162F" w:rsidRDefault="0084717A" w:rsidP="009670AC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10</w:t>
            </w:r>
            <w:r w:rsidR="009670AC"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0</w:t>
            </w: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9670AC"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092A9D" w:rsidRPr="0033162F" w:rsidRDefault="00826D0A" w:rsidP="00826D0A">
            <w:pPr>
              <w:autoSpaceDE w:val="0"/>
              <w:spacing w:after="0" w:line="100" w:lineRule="atLeast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 xml:space="preserve">        100</w:t>
            </w:r>
            <w:r w:rsidR="0084717A"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5</w:t>
            </w:r>
          </w:p>
          <w:p w:rsidR="00826D0A" w:rsidRPr="0033162F" w:rsidRDefault="00826D0A" w:rsidP="00826D0A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3162F" w:rsidRPr="0033162F" w:rsidTr="00092A9D">
        <w:trPr>
          <w:trHeight w:val="840"/>
        </w:trPr>
        <w:tc>
          <w:tcPr>
            <w:tcW w:w="1985" w:type="dxa"/>
            <w:shd w:val="clear" w:color="auto" w:fill="auto"/>
          </w:tcPr>
          <w:p w:rsidR="00092A9D" w:rsidRPr="0033162F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 xml:space="preserve">-в </w:t>
            </w:r>
            <w:proofErr w:type="spellStart"/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т.ч</w:t>
            </w:r>
            <w:proofErr w:type="spellEnd"/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 xml:space="preserve">. </w:t>
            </w:r>
          </w:p>
          <w:p w:rsidR="00092A9D" w:rsidRPr="0033162F" w:rsidRDefault="00092A9D" w:rsidP="00092A9D">
            <w:pPr>
              <w:autoSpaceDE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</w:tcPr>
          <w:p w:rsidR="00092A9D" w:rsidRPr="0033162F" w:rsidRDefault="001F4842" w:rsidP="001F4842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859107,3</w:t>
            </w:r>
          </w:p>
        </w:tc>
        <w:tc>
          <w:tcPr>
            <w:tcW w:w="1441" w:type="dxa"/>
            <w:shd w:val="clear" w:color="auto" w:fill="auto"/>
          </w:tcPr>
          <w:p w:rsidR="00092A9D" w:rsidRPr="0033162F" w:rsidRDefault="001F4842" w:rsidP="001F4842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847649</w:t>
            </w:r>
            <w:r w:rsidR="0084717A"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82" w:type="dxa"/>
            <w:shd w:val="clear" w:color="auto" w:fill="auto"/>
          </w:tcPr>
          <w:p w:rsidR="00092A9D" w:rsidRPr="0033162F" w:rsidRDefault="009670AC" w:rsidP="009670AC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846480</w:t>
            </w:r>
            <w:r w:rsidR="00092A9D"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092A9D" w:rsidRPr="0033162F" w:rsidRDefault="009670AC" w:rsidP="009670AC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98</w:t>
            </w:r>
            <w:r w:rsidR="0084717A"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092A9D" w:rsidRPr="0033162F" w:rsidRDefault="00826D0A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99</w:t>
            </w:r>
            <w:r w:rsidR="0084717A"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,9</w:t>
            </w:r>
          </w:p>
        </w:tc>
      </w:tr>
      <w:tr w:rsidR="0033162F" w:rsidRPr="0033162F" w:rsidTr="00092A9D">
        <w:tc>
          <w:tcPr>
            <w:tcW w:w="1985" w:type="dxa"/>
            <w:shd w:val="clear" w:color="auto" w:fill="auto"/>
          </w:tcPr>
          <w:p w:rsidR="00092A9D" w:rsidRPr="0033162F" w:rsidRDefault="00092A9D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Расходы бюджета</w:t>
            </w:r>
          </w:p>
        </w:tc>
        <w:tc>
          <w:tcPr>
            <w:tcW w:w="1417" w:type="dxa"/>
            <w:shd w:val="clear" w:color="auto" w:fill="auto"/>
          </w:tcPr>
          <w:p w:rsidR="00092A9D" w:rsidRPr="0033162F" w:rsidRDefault="008A0EEE" w:rsidP="008A0EEE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1740615</w:t>
            </w:r>
            <w:r w:rsidR="00092A9D" w:rsidRPr="003316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3316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1" w:type="dxa"/>
            <w:shd w:val="clear" w:color="auto" w:fill="auto"/>
          </w:tcPr>
          <w:p w:rsidR="00092A9D" w:rsidRPr="0033162F" w:rsidRDefault="008A0EEE" w:rsidP="008A0EEE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1729157</w:t>
            </w:r>
            <w:r w:rsidR="0084717A"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82" w:type="dxa"/>
            <w:shd w:val="clear" w:color="auto" w:fill="auto"/>
          </w:tcPr>
          <w:p w:rsidR="00092A9D" w:rsidRPr="0033162F" w:rsidRDefault="008A0EEE" w:rsidP="00092A9D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1668623,0</w:t>
            </w:r>
          </w:p>
        </w:tc>
        <w:tc>
          <w:tcPr>
            <w:tcW w:w="1672" w:type="dxa"/>
            <w:shd w:val="clear" w:color="auto" w:fill="auto"/>
          </w:tcPr>
          <w:p w:rsidR="00092A9D" w:rsidRPr="0033162F" w:rsidRDefault="008A0EEE" w:rsidP="008A0EEE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95</w:t>
            </w:r>
            <w:r w:rsidR="0084717A"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092A9D" w:rsidRPr="0033162F" w:rsidRDefault="008A0EEE" w:rsidP="00B83A4F">
            <w:pPr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  <w:lang w:eastAsia="ar-SA"/>
              </w:rPr>
              <w:t>96,5</w:t>
            </w:r>
          </w:p>
        </w:tc>
      </w:tr>
    </w:tbl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lastRenderedPageBreak/>
        <w:t xml:space="preserve">              Бюджет городского округа город Михайловка по доходам за 201</w:t>
      </w:r>
      <w:r w:rsidR="008A0EE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 исполнен в сумме 1</w:t>
      </w:r>
      <w:r w:rsidR="008A0EE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644809,0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руб., в том числе по налоговым и неналоговым доходам в сумме </w:t>
      </w:r>
      <w:r w:rsidR="008A0EE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798328,9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руб.,</w:t>
      </w:r>
      <w:r w:rsidR="008A0EE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по безвозмездным поступлениям 846480,1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 Расходы в 201</w:t>
      </w:r>
      <w:r w:rsidR="008A0EE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году составили 1</w:t>
      </w:r>
      <w:r w:rsidR="008A0EE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668623,0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</w:p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Решением Думы </w:t>
      </w:r>
      <w:r w:rsidR="008C6A8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на 201</w:t>
      </w:r>
      <w:r w:rsidR="008A0EE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 утвержден </w:t>
      </w:r>
      <w:r w:rsidR="008C6A8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изначально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бездефицитный бюджет. Фактически  бюджет городского округа за 201</w:t>
      </w:r>
      <w:r w:rsidR="008A0EE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 исполнен с дефицитом  в сумме </w:t>
      </w:r>
      <w:r w:rsidR="008A0EE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23814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8A0EE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0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рублей. Источниками финансирования дефицита бюджета явилось </w:t>
      </w:r>
      <w:r w:rsidR="008C6A8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изменение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остатков средств на счетах бюджета городского округа</w:t>
      </w:r>
      <w:r w:rsidR="0028657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и источники внутреннего финансирования дефицитов бюджета, направленные </w:t>
      </w:r>
      <w:r w:rsidR="001512C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на погашение кредитов от кредитной организации</w:t>
      </w:r>
      <w:r w:rsidR="008C6A8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</w:t>
      </w:r>
    </w:p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На формирование резервного фонда в бюджете городского округа город Михайловка на 201</w:t>
      </w:r>
      <w:r w:rsidR="0070301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  первоначально предусматривались средства в сумме 500,0 тыс. рублей</w:t>
      </w:r>
      <w:r w:rsidRPr="0033162F">
        <w:rPr>
          <w:rFonts w:ascii="Times New Roman" w:eastAsia="Calibri" w:hAnsi="Times New Roman" w:cs="Calibri"/>
          <w:i/>
          <w:color w:val="000000" w:themeColor="text1"/>
          <w:sz w:val="24"/>
          <w:szCs w:val="24"/>
          <w:lang w:eastAsia="ar-SA"/>
        </w:rPr>
        <w:t xml:space="preserve">.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Согласно отчету</w:t>
      </w:r>
      <w:r w:rsidRPr="0033162F">
        <w:rPr>
          <w:rFonts w:ascii="Times New Roman" w:eastAsia="Calibri" w:hAnsi="Times New Roman" w:cs="Calibri"/>
          <w:i/>
          <w:color w:val="000000" w:themeColor="text1"/>
          <w:sz w:val="24"/>
          <w:szCs w:val="24"/>
          <w:lang w:eastAsia="ar-SA"/>
        </w:rPr>
        <w:t xml:space="preserve">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о расходовании средств резервного фонда администрации городского округа город Михайловка исполнение составило </w:t>
      </w:r>
      <w:r w:rsidR="00E4256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239,6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Pr="00331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Расходы резервного фонда произведены в соответствии с установленными лимитами. Размер резервного фонда соответствует требованиям п.3 ст.81 БК РФ и не  превышает 3 процентов утвержденного решениями Михайловской городской Думы общего объема расходов.</w:t>
      </w:r>
    </w:p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По состоянию на 1 января 201</w:t>
      </w:r>
      <w:r w:rsidR="00E42561" w:rsidRPr="00331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331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 и на 1 января 201</w:t>
      </w:r>
      <w:r w:rsidR="00E42561" w:rsidRPr="00331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331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 задолженности по бюджетным кредитам нет.</w:t>
      </w:r>
    </w:p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Бюджетные кредиты из бюджета городского округа город Михайловка в 201</w:t>
      </w:r>
      <w:r w:rsidR="00E4256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году не выдавались.</w:t>
      </w:r>
    </w:p>
    <w:p w:rsidR="00092A9D" w:rsidRPr="0033162F" w:rsidRDefault="00092A9D" w:rsidP="00092A9D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Муниципальные гарантии городского округа город Михайловка  в 201</w:t>
      </w:r>
      <w:r w:rsidR="00E4256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году юридическим лицам не предоставлялись.</w:t>
      </w:r>
    </w:p>
    <w:p w:rsidR="00092A9D" w:rsidRPr="0033162F" w:rsidRDefault="00092A9D" w:rsidP="00F72521">
      <w:pPr>
        <w:autoSpaceDE w:val="0"/>
        <w:spacing w:after="0" w:line="100" w:lineRule="atLeast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</w:p>
    <w:p w:rsidR="00F72521" w:rsidRPr="0033162F" w:rsidRDefault="00F72521" w:rsidP="00F72521">
      <w:pPr>
        <w:autoSpaceDE w:val="0"/>
        <w:spacing w:after="0" w:line="100" w:lineRule="atLeast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>Доходы бюджета.</w:t>
      </w:r>
    </w:p>
    <w:p w:rsidR="00F72521" w:rsidRPr="0033162F" w:rsidRDefault="00F72521" w:rsidP="00F72521">
      <w:pPr>
        <w:autoSpaceDE w:val="0"/>
        <w:spacing w:after="0" w:line="100" w:lineRule="atLeast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</w:p>
    <w:p w:rsidR="00F72521" w:rsidRPr="0033162F" w:rsidRDefault="00F72521" w:rsidP="00F725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Доходы бюджета создают финансовую базу для выполнения органами местного самоуправления возложенных на них функций удовлетворения публичных потребностей. В связи с этим вопросы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пополнения доходной части местного бюджета за счет повышения налоговых и неналоговых доходов являются одним из основных направлений деятельности органов государственной власти и органов местного самоуправления. Особенно важна эта работа в период финансово-экономического кризиса в России, начавшегося в 2014 году и вызванного снижением цен на нефть и экономическими санкциями стран Запада в отношении России.</w:t>
      </w:r>
    </w:p>
    <w:p w:rsidR="00F72521" w:rsidRPr="0033162F" w:rsidRDefault="00F72521" w:rsidP="00F725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Информация о доходах городского округа город Михайловка Волгоградской о</w:t>
      </w:r>
      <w:r w:rsidR="008C6A8E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бласти и их темпов роста за 201</w:t>
      </w:r>
      <w:r w:rsidR="00E42561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  <w:t xml:space="preserve"> приведена в приложении № 1.</w:t>
      </w:r>
    </w:p>
    <w:p w:rsidR="00F72521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Calibri" w:eastAsia="Calibri" w:hAnsi="Calibri" w:cs="Calibri"/>
          <w:color w:val="000000" w:themeColor="text1"/>
          <w:lang w:eastAsia="ar-SA"/>
        </w:rPr>
        <w:t xml:space="preserve">              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При сравнении </w:t>
      </w:r>
      <w:r w:rsidR="006C6B09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утвержденных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плановых назначений с первоначальными параметрами бюджета:  налоговые и неналоговые доходы в</w:t>
      </w:r>
      <w:r w:rsidR="00FE2708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течение года увеличены на 511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FE2708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9 тыс. руб. (0,1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%), безвозмездные п</w:t>
      </w:r>
      <w:r w:rsidR="008279B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оступления уве</w:t>
      </w:r>
      <w:r w:rsidR="00FE2708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личились на 242620,4 тыс. руб. 40,1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%,</w:t>
      </w:r>
      <w:r w:rsidR="00D5657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расходы увеличились – на 330873,2</w:t>
      </w:r>
      <w:r w:rsidR="008279B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тыс. руб. </w:t>
      </w:r>
      <w:r w:rsidR="00D5657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(23</w:t>
      </w:r>
      <w:r w:rsidR="008279B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D5657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7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%).</w:t>
      </w:r>
    </w:p>
    <w:p w:rsidR="00F72521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В отчетном периоде, при внесении изменений в городской бюджет, дефицит бюджета планировался в сумме </w:t>
      </w:r>
      <w:r w:rsidR="00A01670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87571</w:t>
      </w:r>
      <w:r w:rsidR="008279B7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A01670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тыс. руб. или  </w:t>
      </w:r>
      <w:r w:rsidR="00A01670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18,1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% от  общего годового объема поступлений без учета безвозмездных поступлений и поступлений налоговых и неналоговых доходов по дополнительным нормативам отчислений. Фактическ</w:t>
      </w:r>
      <w:r w:rsidR="008279B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и дефицит бюджета составил</w:t>
      </w:r>
      <w:r w:rsidR="00A01670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23814,0</w:t>
      </w:r>
      <w:r w:rsidR="008279B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тыс. руб. или 4,9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%.</w:t>
      </w:r>
    </w:p>
    <w:p w:rsidR="00F72521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В течение года в бюджет </w:t>
      </w:r>
      <w:r w:rsidR="001966F2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четыре</w:t>
      </w:r>
      <w:r w:rsidR="008279B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раз</w:t>
      </w:r>
      <w:r w:rsidR="001966F2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а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вносились   изменения. </w:t>
      </w:r>
      <w:r w:rsidR="0021425E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Однако имеются отклонения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поступлений по </w:t>
      </w:r>
      <w:r w:rsidR="0021425E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отдельным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доходам в размере,</w:t>
      </w:r>
      <w:r w:rsidR="0021425E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превышающем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5% от </w:t>
      </w:r>
      <w:r w:rsidR="001922A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утвержденного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плана на 201</w:t>
      </w:r>
      <w:r w:rsidR="001966F2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год,  </w:t>
      </w:r>
      <w:r w:rsidR="0021425E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а именно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:rsidR="00F72521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-</w:t>
      </w:r>
      <w:r w:rsidR="009E700A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прочие </w:t>
      </w:r>
      <w:r w:rsidR="008279B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доходы от использования имущества,</w:t>
      </w:r>
      <w:r w:rsidR="009E700A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и прав находящих</w:t>
      </w:r>
      <w:r w:rsidR="008279B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ся в государственной и муниципальной собственности </w:t>
      </w:r>
      <w:r w:rsidR="009E700A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за исключением имущества бюджетных и автономных учреждений выше</w:t>
      </w:r>
      <w:r w:rsidR="008279B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запланированны</w:t>
      </w:r>
      <w:r w:rsidR="001966F2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х </w:t>
      </w:r>
      <w:r w:rsidR="0021425E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и утвержденных </w:t>
      </w:r>
      <w:r w:rsidR="001966F2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на 9</w:t>
      </w:r>
      <w:r w:rsidR="00EB45C6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1966F2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0</w:t>
      </w:r>
      <w:r w:rsidR="00EB45C6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%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F72521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           -</w:t>
      </w:r>
      <w:r w:rsidR="00E42464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налог на имущество физических лиц на 5,0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% </w:t>
      </w:r>
      <w:r w:rsidR="00FB62E8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выш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е уточненного плана.            За анализируемый период в бюджет городского округа поступило 1</w:t>
      </w:r>
      <w:r w:rsidR="00304315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644809,0 тыс. руб. (100,1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% </w:t>
      </w:r>
      <w:r w:rsidR="001922A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утвержденных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плановых назначений), в том числе: налогов</w:t>
      </w:r>
      <w:r w:rsidR="00304315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ые и неналоговые доходы – 798328,9 тыс. руб. (100,6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%</w:t>
      </w:r>
      <w:r w:rsidR="00304315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), безвозмездные поступления – 846797,5 тыс. руб. (99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,9%). В общей  сумме поступивших доходов доля налоговых и не</w:t>
      </w:r>
      <w:r w:rsidR="008B2BAA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н</w:t>
      </w:r>
      <w:r w:rsidR="00304315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алоговых платежей составляет  48,5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%, безвозмезд</w:t>
      </w:r>
      <w:r w:rsidR="00304315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ных поступлений – 51,5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%, в предыдущем году да</w:t>
      </w:r>
      <w:r w:rsidR="00304315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нное соотношение составляло   51</w:t>
      </w:r>
      <w:r w:rsidR="008B2BAA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304315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9% и 48,1</w:t>
      </w:r>
      <w:r w:rsidR="008B2BAA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% , в 201</w:t>
      </w:r>
      <w:r w:rsidR="00304315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6 году 52,7 % и 47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,3%  соответственно.</w:t>
      </w:r>
    </w:p>
    <w:p w:rsidR="00F72521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</w:t>
      </w:r>
      <w:r w:rsidR="00304315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По сравнению с 2017 годом, в 2018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общая сумма доходов  у</w:t>
      </w:r>
      <w:r w:rsidR="00AB529B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величи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лась на  </w:t>
      </w:r>
      <w:r w:rsidR="00BE46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1544</w:t>
      </w:r>
      <w:r w:rsidR="00AB529B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78,7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тыс. руб., при этом  налоговы</w:t>
      </w:r>
      <w:r w:rsidR="008B2BAA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е и неналоговые доходы уменьш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ились на  </w:t>
      </w:r>
      <w:r w:rsidR="00AB529B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24410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AB529B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9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тыс. руб.,  безвозмездные поступления  у</w:t>
      </w:r>
      <w:r w:rsidR="00AB529B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велич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ились на  </w:t>
      </w:r>
      <w:r w:rsidR="00AB529B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130067,8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тыс. руб.</w:t>
      </w:r>
    </w:p>
    <w:p w:rsidR="00F72521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Динамика поступлений общей суммы доходов, налоговых и неналоговых доходов в бюджет городского округа город Михайловка за 201</w:t>
      </w:r>
      <w:r w:rsidR="00AB529B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6</w:t>
      </w:r>
      <w:r w:rsidR="008B2BAA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-201</w:t>
      </w:r>
      <w:r w:rsidR="00AB529B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годы представлена в следующей таблице:</w:t>
      </w:r>
    </w:p>
    <w:p w:rsidR="00F72521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</w:t>
      </w:r>
    </w:p>
    <w:p w:rsidR="00F72521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тыс. руб.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1486"/>
        <w:gridCol w:w="994"/>
        <w:gridCol w:w="621"/>
        <w:gridCol w:w="992"/>
        <w:gridCol w:w="621"/>
        <w:gridCol w:w="1001"/>
        <w:gridCol w:w="633"/>
        <w:gridCol w:w="990"/>
        <w:gridCol w:w="621"/>
        <w:gridCol w:w="993"/>
        <w:gridCol w:w="619"/>
      </w:tblGrid>
      <w:tr w:rsidR="0033162F" w:rsidRPr="0033162F" w:rsidTr="008D5E5A">
        <w:tc>
          <w:tcPr>
            <w:tcW w:w="776" w:type="pct"/>
          </w:tcPr>
          <w:p w:rsidR="00F72521" w:rsidRPr="0033162F" w:rsidRDefault="00F72521" w:rsidP="00F7252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vMerge w:val="restart"/>
          </w:tcPr>
          <w:p w:rsidR="00F72521" w:rsidRPr="0033162F" w:rsidRDefault="0037335F" w:rsidP="00F72521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lang w:eastAsia="ar-SA"/>
              </w:rPr>
              <w:t>2016</w:t>
            </w:r>
          </w:p>
        </w:tc>
        <w:tc>
          <w:tcPr>
            <w:tcW w:w="324" w:type="pct"/>
            <w:vMerge w:val="restart"/>
            <w:textDirection w:val="btLr"/>
          </w:tcPr>
          <w:p w:rsidR="00F72521" w:rsidRPr="0033162F" w:rsidRDefault="00F72521" w:rsidP="00F72521">
            <w:pPr>
              <w:ind w:left="113" w:right="113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lang w:eastAsia="ar-SA"/>
              </w:rPr>
              <w:t>структура</w:t>
            </w:r>
          </w:p>
        </w:tc>
        <w:tc>
          <w:tcPr>
            <w:tcW w:w="523" w:type="pct"/>
            <w:vMerge w:val="restart"/>
          </w:tcPr>
          <w:p w:rsidR="00F72521" w:rsidRPr="0033162F" w:rsidRDefault="000508B1" w:rsidP="0037335F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lang w:eastAsia="ar-SA"/>
              </w:rPr>
              <w:t>201</w:t>
            </w:r>
            <w:r w:rsidR="0037335F" w:rsidRPr="0033162F">
              <w:rPr>
                <w:rFonts w:eastAsia="Calibri"/>
                <w:color w:val="000000" w:themeColor="text1"/>
                <w:lang w:eastAsia="ar-SA"/>
              </w:rPr>
              <w:t>7</w:t>
            </w:r>
          </w:p>
        </w:tc>
        <w:tc>
          <w:tcPr>
            <w:tcW w:w="325" w:type="pct"/>
            <w:vMerge w:val="restart"/>
            <w:textDirection w:val="btLr"/>
          </w:tcPr>
          <w:p w:rsidR="00F72521" w:rsidRPr="0033162F" w:rsidRDefault="00F72521" w:rsidP="00F72521">
            <w:pPr>
              <w:ind w:left="113" w:right="113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lang w:eastAsia="ar-SA"/>
              </w:rPr>
              <w:t>структура</w:t>
            </w:r>
          </w:p>
        </w:tc>
        <w:tc>
          <w:tcPr>
            <w:tcW w:w="864" w:type="pct"/>
            <w:gridSpan w:val="2"/>
          </w:tcPr>
          <w:p w:rsidR="00F72521" w:rsidRPr="0033162F" w:rsidRDefault="00F72521" w:rsidP="00F72521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lang w:eastAsia="ar-SA"/>
              </w:rPr>
              <w:t>Отклонения</w:t>
            </w:r>
          </w:p>
          <w:p w:rsidR="00F72521" w:rsidRPr="0033162F" w:rsidRDefault="00AB529B" w:rsidP="00F72521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lang w:eastAsia="ar-SA"/>
              </w:rPr>
              <w:t>к 2016</w:t>
            </w:r>
            <w:r w:rsidR="00F72521" w:rsidRPr="0033162F">
              <w:rPr>
                <w:rFonts w:eastAsia="Calibri"/>
                <w:color w:val="000000" w:themeColor="text1"/>
                <w:lang w:eastAsia="ar-SA"/>
              </w:rPr>
              <w:t xml:space="preserve"> году</w:t>
            </w:r>
          </w:p>
        </w:tc>
        <w:tc>
          <w:tcPr>
            <w:tcW w:w="525" w:type="pct"/>
            <w:vMerge w:val="restart"/>
          </w:tcPr>
          <w:p w:rsidR="00F72521" w:rsidRPr="0033162F" w:rsidRDefault="00AB529B" w:rsidP="00F72521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lang w:eastAsia="ar-SA"/>
              </w:rPr>
              <w:t>2018</w:t>
            </w:r>
          </w:p>
        </w:tc>
        <w:tc>
          <w:tcPr>
            <w:tcW w:w="325" w:type="pct"/>
            <w:vMerge w:val="restart"/>
            <w:textDirection w:val="btLr"/>
          </w:tcPr>
          <w:p w:rsidR="00F72521" w:rsidRPr="0033162F" w:rsidRDefault="00F72521" w:rsidP="00F72521">
            <w:pPr>
              <w:ind w:left="113" w:right="113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lang w:eastAsia="ar-SA"/>
              </w:rPr>
              <w:t>структура</w:t>
            </w:r>
          </w:p>
        </w:tc>
        <w:tc>
          <w:tcPr>
            <w:tcW w:w="813" w:type="pct"/>
            <w:gridSpan w:val="2"/>
          </w:tcPr>
          <w:p w:rsidR="00F72521" w:rsidRPr="0033162F" w:rsidRDefault="00F72521" w:rsidP="00F72521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lang w:eastAsia="ar-SA"/>
              </w:rPr>
              <w:t>Отклонения</w:t>
            </w:r>
          </w:p>
          <w:p w:rsidR="00F72521" w:rsidRPr="0033162F" w:rsidRDefault="00AB529B" w:rsidP="00F72521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lang w:eastAsia="ar-SA"/>
              </w:rPr>
              <w:t>к 2017</w:t>
            </w:r>
            <w:r w:rsidR="00F72521" w:rsidRPr="0033162F">
              <w:rPr>
                <w:rFonts w:eastAsia="Calibri"/>
                <w:color w:val="000000" w:themeColor="text1"/>
                <w:lang w:eastAsia="ar-SA"/>
              </w:rPr>
              <w:t xml:space="preserve"> году</w:t>
            </w:r>
          </w:p>
        </w:tc>
      </w:tr>
      <w:tr w:rsidR="0033162F" w:rsidRPr="0033162F" w:rsidTr="008D5E5A">
        <w:tc>
          <w:tcPr>
            <w:tcW w:w="776" w:type="pct"/>
          </w:tcPr>
          <w:p w:rsidR="00F72521" w:rsidRPr="0033162F" w:rsidRDefault="00F72521" w:rsidP="00F7252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vMerge/>
          </w:tcPr>
          <w:p w:rsidR="00F72521" w:rsidRPr="0033162F" w:rsidRDefault="00F72521" w:rsidP="00F7252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" w:type="pct"/>
            <w:vMerge/>
          </w:tcPr>
          <w:p w:rsidR="00F72521" w:rsidRPr="0033162F" w:rsidRDefault="00F72521" w:rsidP="00F72521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523" w:type="pct"/>
            <w:vMerge/>
          </w:tcPr>
          <w:p w:rsidR="00F72521" w:rsidRPr="0033162F" w:rsidRDefault="00F72521" w:rsidP="00F72521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25" w:type="pct"/>
            <w:vMerge/>
          </w:tcPr>
          <w:p w:rsidR="00F72521" w:rsidRPr="0033162F" w:rsidRDefault="00F72521" w:rsidP="00F72521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532" w:type="pct"/>
          </w:tcPr>
          <w:p w:rsidR="00F72521" w:rsidRPr="0033162F" w:rsidRDefault="00F72521" w:rsidP="00F72521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332" w:type="pct"/>
          </w:tcPr>
          <w:p w:rsidR="00F72521" w:rsidRPr="0033162F" w:rsidRDefault="00F72521" w:rsidP="00F72521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lang w:eastAsia="ar-SA"/>
              </w:rPr>
              <w:t>%</w:t>
            </w:r>
          </w:p>
        </w:tc>
        <w:tc>
          <w:tcPr>
            <w:tcW w:w="525" w:type="pct"/>
            <w:vMerge/>
          </w:tcPr>
          <w:p w:rsidR="00F72521" w:rsidRPr="0033162F" w:rsidRDefault="00F72521" w:rsidP="00F72521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25" w:type="pct"/>
            <w:vMerge/>
          </w:tcPr>
          <w:p w:rsidR="00F72521" w:rsidRPr="0033162F" w:rsidRDefault="00F72521" w:rsidP="00F72521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482" w:type="pct"/>
          </w:tcPr>
          <w:p w:rsidR="00F72521" w:rsidRPr="0033162F" w:rsidRDefault="00F72521" w:rsidP="00F72521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331" w:type="pct"/>
          </w:tcPr>
          <w:p w:rsidR="00F72521" w:rsidRPr="0033162F" w:rsidRDefault="00F72521" w:rsidP="00F72521">
            <w:pPr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lang w:eastAsia="ar-SA"/>
              </w:rPr>
              <w:t>%</w:t>
            </w:r>
          </w:p>
        </w:tc>
      </w:tr>
      <w:tr w:rsidR="0033162F" w:rsidRPr="0033162F" w:rsidTr="008D5E5A">
        <w:tc>
          <w:tcPr>
            <w:tcW w:w="776" w:type="pct"/>
          </w:tcPr>
          <w:p w:rsidR="0037335F" w:rsidRPr="0033162F" w:rsidRDefault="0037335F" w:rsidP="00F7252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Налоговые и неналоговые</w:t>
            </w:r>
          </w:p>
        </w:tc>
        <w:tc>
          <w:tcPr>
            <w:tcW w:w="524" w:type="pct"/>
          </w:tcPr>
          <w:p w:rsidR="0037335F" w:rsidRPr="0033162F" w:rsidRDefault="0037335F" w:rsidP="00920F2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807089,2</w:t>
            </w:r>
          </w:p>
        </w:tc>
        <w:tc>
          <w:tcPr>
            <w:tcW w:w="324" w:type="pct"/>
          </w:tcPr>
          <w:p w:rsidR="0037335F" w:rsidRPr="0033162F" w:rsidRDefault="0037335F" w:rsidP="00920F2F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52,7</w:t>
            </w:r>
          </w:p>
        </w:tc>
        <w:tc>
          <w:tcPr>
            <w:tcW w:w="523" w:type="pct"/>
          </w:tcPr>
          <w:p w:rsidR="0037335F" w:rsidRPr="0033162F" w:rsidRDefault="0037335F" w:rsidP="00920F2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773918,0</w:t>
            </w:r>
          </w:p>
        </w:tc>
        <w:tc>
          <w:tcPr>
            <w:tcW w:w="325" w:type="pct"/>
          </w:tcPr>
          <w:p w:rsidR="0037335F" w:rsidRPr="0033162F" w:rsidRDefault="0037335F" w:rsidP="00920F2F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51,9</w:t>
            </w:r>
          </w:p>
        </w:tc>
        <w:tc>
          <w:tcPr>
            <w:tcW w:w="532" w:type="pct"/>
          </w:tcPr>
          <w:p w:rsidR="0037335F" w:rsidRPr="0033162F" w:rsidRDefault="00FA3D02" w:rsidP="00F72521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-8760,3</w:t>
            </w:r>
          </w:p>
        </w:tc>
        <w:tc>
          <w:tcPr>
            <w:tcW w:w="332" w:type="pct"/>
          </w:tcPr>
          <w:p w:rsidR="0037335F" w:rsidRPr="0033162F" w:rsidRDefault="00FA3D02" w:rsidP="009D4D51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-1,1</w:t>
            </w:r>
          </w:p>
        </w:tc>
        <w:tc>
          <w:tcPr>
            <w:tcW w:w="525" w:type="pct"/>
          </w:tcPr>
          <w:p w:rsidR="0037335F" w:rsidRPr="0033162F" w:rsidRDefault="001A02C2" w:rsidP="001A02C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798328</w:t>
            </w:r>
            <w:r w:rsidR="0037335F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,</w:t>
            </w: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25" w:type="pct"/>
          </w:tcPr>
          <w:p w:rsidR="0037335F" w:rsidRPr="0033162F" w:rsidRDefault="00AB529B" w:rsidP="00AB529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48</w:t>
            </w:r>
            <w:r w:rsidR="0037335F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,</w:t>
            </w: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82" w:type="pct"/>
          </w:tcPr>
          <w:p w:rsidR="0037335F" w:rsidRPr="0033162F" w:rsidRDefault="00FA3D02" w:rsidP="00F72521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+24410,9</w:t>
            </w:r>
          </w:p>
        </w:tc>
        <w:tc>
          <w:tcPr>
            <w:tcW w:w="331" w:type="pct"/>
          </w:tcPr>
          <w:p w:rsidR="0037335F" w:rsidRPr="0033162F" w:rsidRDefault="00FA3D02" w:rsidP="00FA3D02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+3</w:t>
            </w:r>
            <w:r w:rsidR="0037335F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,</w:t>
            </w: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</w:tr>
      <w:tr w:rsidR="0033162F" w:rsidRPr="0033162F" w:rsidTr="008D5E5A">
        <w:tc>
          <w:tcPr>
            <w:tcW w:w="776" w:type="pct"/>
          </w:tcPr>
          <w:p w:rsidR="0037335F" w:rsidRPr="0033162F" w:rsidRDefault="0037335F" w:rsidP="00F7252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налоговые</w:t>
            </w:r>
          </w:p>
        </w:tc>
        <w:tc>
          <w:tcPr>
            <w:tcW w:w="524" w:type="pct"/>
          </w:tcPr>
          <w:p w:rsidR="0037335F" w:rsidRPr="0033162F" w:rsidRDefault="0037335F" w:rsidP="00920F2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641856,3</w:t>
            </w:r>
          </w:p>
        </w:tc>
        <w:tc>
          <w:tcPr>
            <w:tcW w:w="324" w:type="pct"/>
          </w:tcPr>
          <w:p w:rsidR="0037335F" w:rsidRPr="0033162F" w:rsidRDefault="0037335F" w:rsidP="00920F2F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41,9</w:t>
            </w:r>
          </w:p>
        </w:tc>
        <w:tc>
          <w:tcPr>
            <w:tcW w:w="523" w:type="pct"/>
          </w:tcPr>
          <w:p w:rsidR="0037335F" w:rsidRPr="0033162F" w:rsidRDefault="0037335F" w:rsidP="00920F2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662234,0</w:t>
            </w:r>
          </w:p>
        </w:tc>
        <w:tc>
          <w:tcPr>
            <w:tcW w:w="325" w:type="pct"/>
          </w:tcPr>
          <w:p w:rsidR="0037335F" w:rsidRPr="0033162F" w:rsidRDefault="0037335F" w:rsidP="00920F2F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44,4</w:t>
            </w:r>
          </w:p>
        </w:tc>
        <w:tc>
          <w:tcPr>
            <w:tcW w:w="532" w:type="pct"/>
          </w:tcPr>
          <w:p w:rsidR="0037335F" w:rsidRPr="0033162F" w:rsidRDefault="00FA3D02" w:rsidP="009D4D51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+20019,7</w:t>
            </w:r>
          </w:p>
        </w:tc>
        <w:tc>
          <w:tcPr>
            <w:tcW w:w="332" w:type="pct"/>
          </w:tcPr>
          <w:p w:rsidR="0037335F" w:rsidRPr="0033162F" w:rsidRDefault="00FA3D02" w:rsidP="00F7068F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+3,1</w:t>
            </w:r>
          </w:p>
        </w:tc>
        <w:tc>
          <w:tcPr>
            <w:tcW w:w="525" w:type="pct"/>
          </w:tcPr>
          <w:p w:rsidR="0037335F" w:rsidRPr="0033162F" w:rsidRDefault="001A02C2" w:rsidP="00F725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661876</w:t>
            </w:r>
            <w:r w:rsidR="0037335F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325" w:type="pct"/>
          </w:tcPr>
          <w:p w:rsidR="0037335F" w:rsidRPr="0033162F" w:rsidRDefault="00AB529B" w:rsidP="00AB529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40</w:t>
            </w:r>
            <w:r w:rsidR="0037335F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,</w:t>
            </w: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82" w:type="pct"/>
          </w:tcPr>
          <w:p w:rsidR="0037335F" w:rsidRPr="0033162F" w:rsidRDefault="00FA3D02" w:rsidP="00F72521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-358,0</w:t>
            </w:r>
          </w:p>
        </w:tc>
        <w:tc>
          <w:tcPr>
            <w:tcW w:w="331" w:type="pct"/>
          </w:tcPr>
          <w:p w:rsidR="0037335F" w:rsidRPr="0033162F" w:rsidRDefault="00FA3D02" w:rsidP="009956D4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-0</w:t>
            </w:r>
            <w:r w:rsidR="0037335F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,</w:t>
            </w: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05</w:t>
            </w:r>
          </w:p>
        </w:tc>
      </w:tr>
      <w:tr w:rsidR="0033162F" w:rsidRPr="0033162F" w:rsidTr="008D5E5A">
        <w:tc>
          <w:tcPr>
            <w:tcW w:w="776" w:type="pct"/>
          </w:tcPr>
          <w:p w:rsidR="0037335F" w:rsidRPr="0033162F" w:rsidRDefault="0037335F" w:rsidP="00F7252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неналоговые</w:t>
            </w:r>
          </w:p>
        </w:tc>
        <w:tc>
          <w:tcPr>
            <w:tcW w:w="524" w:type="pct"/>
          </w:tcPr>
          <w:p w:rsidR="0037335F" w:rsidRPr="0033162F" w:rsidRDefault="0037335F" w:rsidP="00920F2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165232,9</w:t>
            </w:r>
          </w:p>
        </w:tc>
        <w:tc>
          <w:tcPr>
            <w:tcW w:w="324" w:type="pct"/>
          </w:tcPr>
          <w:p w:rsidR="0037335F" w:rsidRPr="0033162F" w:rsidRDefault="0037335F" w:rsidP="00920F2F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10,8</w:t>
            </w:r>
          </w:p>
        </w:tc>
        <w:tc>
          <w:tcPr>
            <w:tcW w:w="523" w:type="pct"/>
          </w:tcPr>
          <w:p w:rsidR="0037335F" w:rsidRPr="0033162F" w:rsidRDefault="0037335F" w:rsidP="00920F2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111684,0</w:t>
            </w:r>
          </w:p>
        </w:tc>
        <w:tc>
          <w:tcPr>
            <w:tcW w:w="325" w:type="pct"/>
          </w:tcPr>
          <w:p w:rsidR="0037335F" w:rsidRPr="0033162F" w:rsidRDefault="0037335F" w:rsidP="00920F2F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7,5</w:t>
            </w:r>
          </w:p>
        </w:tc>
        <w:tc>
          <w:tcPr>
            <w:tcW w:w="532" w:type="pct"/>
          </w:tcPr>
          <w:p w:rsidR="0037335F" w:rsidRPr="0033162F" w:rsidRDefault="00FA3D02" w:rsidP="009D4D51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 xml:space="preserve"> -28780</w:t>
            </w:r>
            <w:r w:rsidR="0037335F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332" w:type="pct"/>
          </w:tcPr>
          <w:p w:rsidR="0037335F" w:rsidRPr="0033162F" w:rsidRDefault="00FA3D02" w:rsidP="009D4D51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-17,4</w:t>
            </w:r>
          </w:p>
        </w:tc>
        <w:tc>
          <w:tcPr>
            <w:tcW w:w="525" w:type="pct"/>
          </w:tcPr>
          <w:p w:rsidR="0037335F" w:rsidRPr="0033162F" w:rsidRDefault="001A02C2" w:rsidP="001A02C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136452</w:t>
            </w:r>
            <w:r w:rsidR="0037335F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,</w:t>
            </w: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25" w:type="pct"/>
          </w:tcPr>
          <w:p w:rsidR="0037335F" w:rsidRPr="0033162F" w:rsidRDefault="00AB529B" w:rsidP="00AB529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8</w:t>
            </w:r>
            <w:r w:rsidR="0037335F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,</w:t>
            </w: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82" w:type="pct"/>
          </w:tcPr>
          <w:p w:rsidR="0037335F" w:rsidRPr="0033162F" w:rsidRDefault="00FA3D02" w:rsidP="00F72521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 xml:space="preserve"> 24768,0</w:t>
            </w:r>
          </w:p>
        </w:tc>
        <w:tc>
          <w:tcPr>
            <w:tcW w:w="331" w:type="pct"/>
          </w:tcPr>
          <w:p w:rsidR="0037335F" w:rsidRPr="0033162F" w:rsidRDefault="00FA3D02" w:rsidP="00FA3D02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22</w:t>
            </w:r>
            <w:r w:rsidR="0037335F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,</w:t>
            </w: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</w:tr>
      <w:tr w:rsidR="0033162F" w:rsidRPr="0033162F" w:rsidTr="008D5E5A">
        <w:tc>
          <w:tcPr>
            <w:tcW w:w="776" w:type="pct"/>
          </w:tcPr>
          <w:p w:rsidR="0037335F" w:rsidRPr="0033162F" w:rsidRDefault="0037335F" w:rsidP="00F7252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безвозмездные поступления</w:t>
            </w:r>
          </w:p>
        </w:tc>
        <w:tc>
          <w:tcPr>
            <w:tcW w:w="524" w:type="pct"/>
          </w:tcPr>
          <w:p w:rsidR="0037335F" w:rsidRPr="0033162F" w:rsidRDefault="0037335F" w:rsidP="00920F2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725359,3</w:t>
            </w:r>
          </w:p>
        </w:tc>
        <w:tc>
          <w:tcPr>
            <w:tcW w:w="324" w:type="pct"/>
          </w:tcPr>
          <w:p w:rsidR="0037335F" w:rsidRPr="0033162F" w:rsidRDefault="0037335F" w:rsidP="00920F2F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47,3</w:t>
            </w:r>
          </w:p>
        </w:tc>
        <w:tc>
          <w:tcPr>
            <w:tcW w:w="523" w:type="pct"/>
          </w:tcPr>
          <w:p w:rsidR="0037335F" w:rsidRPr="0033162F" w:rsidRDefault="0037335F" w:rsidP="00920F2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716412,3</w:t>
            </w:r>
          </w:p>
        </w:tc>
        <w:tc>
          <w:tcPr>
            <w:tcW w:w="325" w:type="pct"/>
          </w:tcPr>
          <w:p w:rsidR="0037335F" w:rsidRPr="0033162F" w:rsidRDefault="0037335F" w:rsidP="00920F2F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48,1</w:t>
            </w:r>
          </w:p>
        </w:tc>
        <w:tc>
          <w:tcPr>
            <w:tcW w:w="532" w:type="pct"/>
          </w:tcPr>
          <w:p w:rsidR="0037335F" w:rsidRPr="0033162F" w:rsidRDefault="00FA3D02" w:rsidP="009D4D51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 xml:space="preserve">   +121120,8</w:t>
            </w:r>
          </w:p>
        </w:tc>
        <w:tc>
          <w:tcPr>
            <w:tcW w:w="332" w:type="pct"/>
          </w:tcPr>
          <w:p w:rsidR="0037335F" w:rsidRPr="0033162F" w:rsidRDefault="00FA3D02" w:rsidP="009D4D51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+16</w:t>
            </w:r>
            <w:r w:rsidR="0037335F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,7</w:t>
            </w:r>
          </w:p>
        </w:tc>
        <w:tc>
          <w:tcPr>
            <w:tcW w:w="525" w:type="pct"/>
          </w:tcPr>
          <w:p w:rsidR="0037335F" w:rsidRPr="0033162F" w:rsidRDefault="00726E64" w:rsidP="001A02C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8</w:t>
            </w:r>
            <w:r w:rsidR="00AB529B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46480</w:t>
            </w:r>
            <w:r w:rsidR="0037335F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,</w:t>
            </w:r>
            <w:r w:rsidR="00AB529B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5" w:type="pct"/>
          </w:tcPr>
          <w:p w:rsidR="0037335F" w:rsidRPr="0033162F" w:rsidRDefault="00AB529B" w:rsidP="00F72521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51,5</w:t>
            </w:r>
          </w:p>
        </w:tc>
        <w:tc>
          <w:tcPr>
            <w:tcW w:w="482" w:type="pct"/>
          </w:tcPr>
          <w:p w:rsidR="0037335F" w:rsidRPr="0033162F" w:rsidRDefault="00FA3D02" w:rsidP="00FA3D02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 xml:space="preserve">   +130067</w:t>
            </w:r>
            <w:r w:rsidR="0037335F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,</w:t>
            </w: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31" w:type="pct"/>
          </w:tcPr>
          <w:p w:rsidR="0037335F" w:rsidRPr="0033162F" w:rsidRDefault="00FA3D02" w:rsidP="00FA3D02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18</w:t>
            </w:r>
            <w:r w:rsidR="0037335F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,2</w:t>
            </w:r>
          </w:p>
        </w:tc>
      </w:tr>
      <w:tr w:rsidR="0033162F" w:rsidRPr="0033162F" w:rsidTr="008D5E5A">
        <w:tc>
          <w:tcPr>
            <w:tcW w:w="776" w:type="pct"/>
          </w:tcPr>
          <w:p w:rsidR="0037335F" w:rsidRPr="0033162F" w:rsidRDefault="0037335F" w:rsidP="00F72521">
            <w:pPr>
              <w:jc w:val="both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Итого</w:t>
            </w:r>
          </w:p>
        </w:tc>
        <w:tc>
          <w:tcPr>
            <w:tcW w:w="524" w:type="pct"/>
          </w:tcPr>
          <w:p w:rsidR="0037335F" w:rsidRPr="0033162F" w:rsidRDefault="0037335F" w:rsidP="00920F2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1532448,5</w:t>
            </w:r>
          </w:p>
        </w:tc>
        <w:tc>
          <w:tcPr>
            <w:tcW w:w="324" w:type="pct"/>
          </w:tcPr>
          <w:p w:rsidR="0037335F" w:rsidRPr="0033162F" w:rsidRDefault="0037335F" w:rsidP="00920F2F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523" w:type="pct"/>
          </w:tcPr>
          <w:p w:rsidR="0037335F" w:rsidRPr="0033162F" w:rsidRDefault="0037335F" w:rsidP="00920F2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1490330,3</w:t>
            </w:r>
          </w:p>
        </w:tc>
        <w:tc>
          <w:tcPr>
            <w:tcW w:w="325" w:type="pct"/>
          </w:tcPr>
          <w:p w:rsidR="0037335F" w:rsidRPr="0033162F" w:rsidRDefault="0037335F" w:rsidP="00920F2F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532" w:type="pct"/>
          </w:tcPr>
          <w:p w:rsidR="0037335F" w:rsidRPr="0033162F" w:rsidRDefault="00FA3D02" w:rsidP="00FA3D02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+112360</w:t>
            </w:r>
            <w:r w:rsidR="0037335F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,</w:t>
            </w: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32" w:type="pct"/>
          </w:tcPr>
          <w:p w:rsidR="0037335F" w:rsidRPr="0033162F" w:rsidRDefault="0037335F" w:rsidP="00FA3D02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+</w:t>
            </w:r>
            <w:r w:rsidR="00FA3D02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7</w:t>
            </w: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,3</w:t>
            </w:r>
            <w:r w:rsidR="00FA3D02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25" w:type="pct"/>
          </w:tcPr>
          <w:p w:rsidR="0037335F" w:rsidRPr="0033162F" w:rsidRDefault="001A02C2" w:rsidP="0030431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16448</w:t>
            </w:r>
            <w:r w:rsidR="00304315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09</w:t>
            </w:r>
            <w:r w:rsidR="0037335F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,</w:t>
            </w:r>
            <w:r w:rsidR="00304315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5" w:type="pct"/>
          </w:tcPr>
          <w:p w:rsidR="0037335F" w:rsidRPr="0033162F" w:rsidRDefault="0037335F" w:rsidP="00F72521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482" w:type="pct"/>
          </w:tcPr>
          <w:p w:rsidR="0037335F" w:rsidRPr="0033162F" w:rsidRDefault="00FA3D02" w:rsidP="00F72521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154478,7</w:t>
            </w:r>
          </w:p>
        </w:tc>
        <w:tc>
          <w:tcPr>
            <w:tcW w:w="331" w:type="pct"/>
          </w:tcPr>
          <w:p w:rsidR="0037335F" w:rsidRPr="0033162F" w:rsidRDefault="00FA3D02" w:rsidP="00505121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10,</w:t>
            </w:r>
            <w:r w:rsidR="0037335F" w:rsidRPr="0033162F">
              <w:rPr>
                <w:rFonts w:eastAsia="Calibri"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</w:tr>
    </w:tbl>
    <w:p w:rsidR="00F72521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</w:t>
      </w:r>
      <w:proofErr w:type="gramStart"/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Из таблицы видно, что ежегодные налоговые и неналоговые доходы г</w:t>
      </w:r>
      <w:r w:rsidR="00920F2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ородского округа в период с 2016 по 2018</w:t>
      </w:r>
      <w:r w:rsidR="00B31B68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год снизились</w:t>
      </w:r>
      <w:r w:rsidR="00920F2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с 807089</w:t>
      </w:r>
      <w:r w:rsidR="00B31B68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920F2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тыс. руб. до </w:t>
      </w:r>
      <w:r w:rsidR="00920F2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798328,9 тыс. руб. (-1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920F2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%), </w:t>
      </w:r>
      <w:r w:rsidR="00B31B68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при этом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31B68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налоговые доходы</w:t>
      </w:r>
      <w:r w:rsidR="00920F2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увеличились с 641856,3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тыс. </w:t>
      </w:r>
      <w:r w:rsidR="00920F2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руб. до 661876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920F2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0 тыс. руб.(+3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920F2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%)</w:t>
      </w:r>
      <w:r w:rsidR="00920F2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 неналоговые снизились с 165232,9 тыс. руб. до 136452</w:t>
      </w:r>
      <w:r w:rsidR="008D471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920F2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9 тыс. руб.(-17</w:t>
      </w:r>
      <w:r w:rsidR="008D471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,4%)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</w:t>
      </w:r>
      <w:proofErr w:type="gramEnd"/>
    </w:p>
    <w:p w:rsidR="00F72521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</w:t>
      </w:r>
      <w:proofErr w:type="gramStart"/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Вместе с тем в анализируемом периоде наблюдается замедление темпов роста н</w:t>
      </w:r>
      <w:r w:rsidR="008D471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алоговых доходов, который в 2016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году состав</w:t>
      </w:r>
      <w:r w:rsidR="0037488E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лял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10</w:t>
      </w:r>
      <w:r w:rsidR="008D471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6,9 %, в 2017 году </w:t>
      </w:r>
      <w:r w:rsidR="00E4326C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="001512CD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103,1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%</w:t>
      </w:r>
      <w:r w:rsidR="0037488E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 в 2018 году -0,05%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 Снижение темпов роста налоговых доходов в основном обусловлено снижением темпов роста экономики России, в связи с кризисными явлениями, замедлением роста фонда оплаты труда</w:t>
      </w:r>
      <w:r w:rsidR="001512CD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и изменением дополнительных нормативов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proofErr w:type="gramEnd"/>
    </w:p>
    <w:p w:rsidR="00F72521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В среднем, за рассматриваемый период, в структуре налоговых и неналоговых доходов городского бюджета налоговые доходы составляют наибольшую долю -</w:t>
      </w:r>
      <w:r w:rsidR="008D471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8</w:t>
      </w:r>
      <w:r w:rsidR="0037488E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8D471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37488E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9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%, а ненал</w:t>
      </w:r>
      <w:r w:rsidR="008D471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оговые доходы наименьшую долю 1</w:t>
      </w:r>
      <w:r w:rsidR="0037488E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7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37488E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%.</w:t>
      </w:r>
    </w:p>
    <w:p w:rsidR="00F72521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На диаграмме приведена информация о структуре налоговых </w:t>
      </w:r>
      <w:r w:rsidR="008D471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доходов городского округа в 201</w:t>
      </w:r>
      <w:r w:rsidR="0037488E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году.</w:t>
      </w:r>
    </w:p>
    <w:p w:rsidR="00082439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  </w:t>
      </w:r>
    </w:p>
    <w:p w:rsidR="00082439" w:rsidRPr="0033162F" w:rsidRDefault="00082439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082439" w:rsidRPr="0033162F" w:rsidRDefault="00082439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082439" w:rsidRPr="0033162F" w:rsidRDefault="00082439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082439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    </w:t>
      </w:r>
      <w:r w:rsidR="00973BB6" w:rsidRPr="0033162F">
        <w:rPr>
          <w:noProof/>
          <w:color w:val="000000" w:themeColor="text1"/>
          <w:lang w:eastAsia="ru-RU"/>
        </w:rPr>
        <w:drawing>
          <wp:inline distT="0" distB="0" distL="0" distR="0" wp14:anchorId="61C267FD" wp14:editId="7A1C41B4">
            <wp:extent cx="5940425" cy="4130822"/>
            <wp:effectExtent l="0" t="0" r="22225" b="222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2439" w:rsidRPr="0033162F" w:rsidRDefault="00082439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082439" w:rsidRPr="0033162F" w:rsidRDefault="00082439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F72521" w:rsidRPr="0033162F" w:rsidRDefault="00D03F27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</w:t>
      </w:r>
      <w:r w:rsidR="00F72521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Наибольший удельный вес в структуре налоговых доходов по-прежнему занимает на</w:t>
      </w:r>
      <w:r w:rsidR="00C2415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лог на доходы физических лиц</w:t>
      </w:r>
      <w:r w:rsidR="00C572F3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406CC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- 68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1406CC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5 % (453954,0</w:t>
      </w:r>
      <w:r w:rsidR="00F72521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тыс. руб.). В общей сумме налоговых доходов, доля на</w:t>
      </w:r>
      <w:r w:rsidR="001406CC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логов на имущество составляет 14</w:t>
      </w:r>
      <w:r w:rsidR="00C2415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1406CC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F72521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% </w:t>
      </w:r>
      <w:r w:rsidR="00C2415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(9</w:t>
      </w:r>
      <w:r w:rsidR="001406CC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4330,1</w:t>
      </w:r>
      <w:r w:rsidR="00F72521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тыс. руб.), налоги на совокупный доход - 9,</w:t>
      </w:r>
      <w:r w:rsidR="001406CC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4</w:t>
      </w:r>
      <w:r w:rsidR="00C2415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% (6</w:t>
      </w:r>
      <w:r w:rsidR="001406CC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2475,5</w:t>
      </w:r>
      <w:r w:rsidR="00C2415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тыс. руб.), госпошлина  </w:t>
      </w:r>
      <w:r w:rsidR="00C572F3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</w:t>
      </w:r>
      <w:r w:rsidR="001406CC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1,8  % (12162</w:t>
      </w:r>
      <w:r w:rsidR="00C2415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1406CC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9</w:t>
      </w:r>
      <w:r w:rsidR="00F72521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тыс. руб.).</w:t>
      </w:r>
    </w:p>
    <w:p w:rsidR="00645F41" w:rsidRPr="0033162F" w:rsidRDefault="00F72521" w:rsidP="00645F41">
      <w:pPr>
        <w:pStyle w:val="1"/>
        <w:jc w:val="both"/>
        <w:rPr>
          <w:rFonts w:ascii="Times New Roman" w:eastAsiaTheme="minorHAnsi" w:hAnsi="Times New Roman"/>
          <w:b w:val="0"/>
          <w:color w:val="000000" w:themeColor="text1"/>
          <w:kern w:val="0"/>
          <w:sz w:val="24"/>
          <w:szCs w:val="24"/>
          <w:lang w:val="ru-RU" w:eastAsia="en-US"/>
        </w:rPr>
      </w:pPr>
      <w:r w:rsidRPr="0033162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</w:t>
      </w:r>
      <w:r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Анализ структуры налоговых платежей по</w:t>
      </w:r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казывает, что в сравнении с 201</w:t>
      </w:r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  <w:lang w:val="ru-RU"/>
        </w:rPr>
        <w:t>7</w:t>
      </w:r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годом </w:t>
      </w:r>
      <w:proofErr w:type="spellStart"/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у</w:t>
      </w:r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  <w:lang w:val="ru-RU"/>
        </w:rPr>
        <w:t>меньш</w:t>
      </w:r>
      <w:r w:rsidR="00C2415F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ился</w:t>
      </w:r>
      <w:proofErr w:type="spellEnd"/>
      <w:r w:rsidR="00C2415F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удельный вес НДФЛ </w:t>
      </w:r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(с 6</w:t>
      </w:r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  <w:lang w:val="ru-RU"/>
        </w:rPr>
        <w:t>9</w:t>
      </w:r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,</w:t>
      </w:r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  <w:lang w:val="ru-RU"/>
        </w:rPr>
        <w:t>7</w:t>
      </w:r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% до 6</w:t>
      </w:r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  <w:lang w:val="ru-RU"/>
        </w:rPr>
        <w:t>8</w:t>
      </w:r>
      <w:r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,</w:t>
      </w:r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  <w:lang w:val="ru-RU"/>
        </w:rPr>
        <w:t>5</w:t>
      </w:r>
      <w:r w:rsidR="00C2415F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%),</w:t>
      </w:r>
      <w:r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r w:rsidR="0049154F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доля поступлений </w:t>
      </w:r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от акцизов </w:t>
      </w:r>
      <w:proofErr w:type="spellStart"/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  <w:lang w:val="ru-RU"/>
        </w:rPr>
        <w:t>увеличи</w:t>
      </w:r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лась</w:t>
      </w:r>
      <w:proofErr w:type="spellEnd"/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(с </w:t>
      </w:r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  <w:lang w:val="ru-RU"/>
        </w:rPr>
        <w:t>4</w:t>
      </w:r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,</w:t>
      </w:r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  <w:lang w:val="ru-RU"/>
        </w:rPr>
        <w:t>7</w:t>
      </w:r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% до </w:t>
      </w:r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  <w:lang w:val="ru-RU"/>
        </w:rPr>
        <w:t>5</w:t>
      </w:r>
      <w:r w:rsidR="000C7C94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,</w:t>
      </w:r>
      <w:r w:rsidR="001406CC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  <w:lang w:val="ru-RU"/>
        </w:rPr>
        <w:t>9</w:t>
      </w:r>
      <w:r w:rsidR="000C7C94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%)</w:t>
      </w:r>
      <w:r w:rsidR="004A09ED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– объясняется </w:t>
      </w:r>
      <w:r w:rsidR="000C7C94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изменением дополнительных </w:t>
      </w:r>
      <w:r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нормативов отчислений от налога на доходы физических лиц в местные бюджеты,</w:t>
      </w:r>
      <w:r w:rsidR="000C7C94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r w:rsidR="00645F41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норматива</w:t>
      </w:r>
      <w:r w:rsidR="004A09ED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r w:rsidR="00645F41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отчислений</w:t>
      </w:r>
      <w:r w:rsidR="00645F41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="004A09ED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в местные бюджеты от акцизов</w:t>
      </w:r>
      <w:r w:rsidR="001512CD" w:rsidRPr="0033162F">
        <w:rPr>
          <w:rFonts w:ascii="Times New Roman" w:eastAsia="Calibri" w:hAnsi="Times New Roman"/>
          <w:b w:val="0"/>
          <w:color w:val="000000" w:themeColor="text1"/>
          <w:sz w:val="24"/>
          <w:szCs w:val="24"/>
          <w:lang w:val="ru-RU"/>
        </w:rPr>
        <w:t xml:space="preserve"> а также увеличением налоговых ставок по автомобильному бензину класса 5 и дизельному топливу</w:t>
      </w:r>
      <w:r w:rsidR="00645F41" w:rsidRPr="0033162F">
        <w:rPr>
          <w:rFonts w:ascii="Times New Roman" w:eastAsiaTheme="minorHAnsi" w:hAnsi="Times New Roman"/>
          <w:b w:val="0"/>
          <w:color w:val="000000" w:themeColor="text1"/>
          <w:kern w:val="0"/>
          <w:sz w:val="24"/>
          <w:szCs w:val="24"/>
          <w:lang w:val="ru-RU" w:eastAsia="en-US"/>
        </w:rPr>
        <w:t>.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Анализ фактического исполнения доходной части бюджета городского округа в разрезе</w:t>
      </w:r>
      <w:r w:rsidR="00645F4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отдельных видов доходов за 201</w:t>
      </w:r>
      <w:r w:rsidR="000B6D2F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 в сравнении с плановыми показателями представлен в приложении №1.</w:t>
      </w:r>
    </w:p>
    <w:p w:rsidR="00F72521" w:rsidRPr="0033162F" w:rsidRDefault="00F72521" w:rsidP="00F72521">
      <w:pPr>
        <w:spacing w:after="120"/>
        <w:jc w:val="both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Анализ структуры доходов бюджета городского</w:t>
      </w:r>
      <w:r w:rsidR="00645F4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округа город Михайловка за 201</w:t>
      </w:r>
      <w:r w:rsidR="000B6D2F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 показал:</w:t>
      </w: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F72521" w:rsidRPr="0033162F" w:rsidRDefault="00F72521" w:rsidP="00F72521">
      <w:pPr>
        <w:spacing w:after="120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b/>
          <w:iCs/>
          <w:color w:val="000000" w:themeColor="text1"/>
          <w:sz w:val="24"/>
          <w:szCs w:val="24"/>
          <w:lang w:eastAsia="ar-SA"/>
        </w:rPr>
        <w:t xml:space="preserve">             Налоговые и неналоговые доходы бюджета</w:t>
      </w:r>
      <w:r w:rsidR="00645F41"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 xml:space="preserve"> в 201</w:t>
      </w:r>
      <w:r w:rsidR="000B6D2F"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 xml:space="preserve"> году у</w:t>
      </w:r>
      <w:r w:rsidR="00EE1E36"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>величи</w:t>
      </w:r>
      <w:r w:rsidR="00645F41"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>ли</w:t>
      </w:r>
      <w:r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 xml:space="preserve">сь в абсолютном значении на </w:t>
      </w:r>
      <w:r w:rsidR="00EE1E36"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>24410,9</w:t>
      </w:r>
      <w:r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 xml:space="preserve"> тыс. ру</w:t>
      </w:r>
      <w:r w:rsidR="00716DFD"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 xml:space="preserve">б.,  в процентном отношении на </w:t>
      </w:r>
      <w:r w:rsidR="00EE1E36"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>3</w:t>
      </w:r>
      <w:r w:rsidR="00762CAD"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>,</w:t>
      </w:r>
      <w:r w:rsidR="00EE1E36"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>2</w:t>
      </w:r>
      <w:r w:rsidR="00716DFD"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 xml:space="preserve"> процентных</w:t>
      </w:r>
      <w:r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 xml:space="preserve"> пункт</w:t>
      </w:r>
      <w:r w:rsidR="00716DFD"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>а и составили 798</w:t>
      </w:r>
      <w:r w:rsidR="00EE1E36"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>328</w:t>
      </w:r>
      <w:r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>,</w:t>
      </w:r>
      <w:r w:rsidR="00EE1E36"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>9</w:t>
      </w:r>
      <w:r w:rsidR="00716DFD"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 xml:space="preserve"> тыс. руб. или  </w:t>
      </w:r>
      <w:r w:rsidR="00EE1E36"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>48,5</w:t>
      </w:r>
      <w:r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>% в общей сумме доходов бюджета городского округа. На изменение доли налоговых и н</w:t>
      </w:r>
      <w:r w:rsidR="00EE1E36"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>еналоговых доходов повлияло увелич</w:t>
      </w:r>
      <w:r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 xml:space="preserve">ение суммы поступлений по </w:t>
      </w:r>
      <w:r w:rsidR="00B83F50"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>безвозмездным поступлениям</w:t>
      </w:r>
      <w:r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>, как в абсолютном, так и в относительном значении</w:t>
      </w:r>
      <w:r w:rsidR="00716DFD"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>.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Доля безвозмездных поступлений </w:t>
      </w:r>
      <w:r w:rsidR="00716DF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в бюджет городского округа  </w:t>
      </w:r>
      <w:r w:rsidR="00B83F5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lastRenderedPageBreak/>
        <w:t>увеличилась на 3</w:t>
      </w:r>
      <w:r w:rsidR="00716DF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B83F5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4</w:t>
      </w:r>
      <w:r w:rsidR="00716DF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процентных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пункт</w:t>
      </w:r>
      <w:r w:rsidR="00716DF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а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, </w:t>
      </w:r>
      <w:r w:rsidR="00716DF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при этом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абсолютная величина безвозмездных поступлений у</w:t>
      </w:r>
      <w:r w:rsidR="00B83F5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велич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илась на </w:t>
      </w:r>
      <w:r w:rsidR="00B83F5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130067</w:t>
      </w:r>
      <w:r w:rsidR="00762CA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</w:p>
    <w:p w:rsidR="00F72521" w:rsidRPr="0033162F" w:rsidRDefault="00F72521" w:rsidP="00F72521">
      <w:pPr>
        <w:spacing w:after="120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   </w:t>
      </w:r>
      <w:r w:rsidR="00037354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Безвозмездные поступления в 201</w:t>
      </w:r>
      <w:r w:rsidR="00B83F5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году составили </w:t>
      </w:r>
      <w:r w:rsidR="00B83F5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846480</w:t>
      </w:r>
      <w:r w:rsidR="00037354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B83F50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B83F5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 (51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B83F5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5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%).</w:t>
      </w:r>
    </w:p>
    <w:p w:rsidR="00F72521" w:rsidRPr="0033162F" w:rsidRDefault="0060301B" w:rsidP="00F72521">
      <w:pPr>
        <w:spacing w:after="120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noProof/>
          <w:color w:val="000000" w:themeColor="text1"/>
          <w:lang w:eastAsia="ru-RU"/>
        </w:rPr>
        <w:drawing>
          <wp:inline distT="0" distB="0" distL="0" distR="0" wp14:anchorId="20AA8F87" wp14:editId="4A50E617">
            <wp:extent cx="6010275" cy="207645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75C8" w:rsidRPr="0033162F" w:rsidRDefault="00F72521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</w:t>
      </w:r>
      <w:r w:rsidRPr="0033162F">
        <w:rPr>
          <w:rFonts w:ascii="Times New Roman" w:eastAsia="Calibri" w:hAnsi="Times New Roman" w:cs="Calibri"/>
          <w:b/>
          <w:color w:val="000000" w:themeColor="text1"/>
          <w:lang w:eastAsia="ar-SA"/>
        </w:rPr>
        <w:t>Ди</w:t>
      </w:r>
      <w:r w:rsidR="001653BF" w:rsidRPr="0033162F">
        <w:rPr>
          <w:rFonts w:ascii="Times New Roman" w:eastAsia="Calibri" w:hAnsi="Times New Roman" w:cs="Calibri"/>
          <w:b/>
          <w:color w:val="000000" w:themeColor="text1"/>
          <w:lang w:eastAsia="ar-SA"/>
        </w:rPr>
        <w:t>намика изменения  доходов в 201</w:t>
      </w:r>
      <w:r w:rsidR="00B83F50" w:rsidRPr="0033162F">
        <w:rPr>
          <w:rFonts w:ascii="Times New Roman" w:eastAsia="Calibri" w:hAnsi="Times New Roman" w:cs="Calibri"/>
          <w:b/>
          <w:color w:val="000000" w:themeColor="text1"/>
          <w:lang w:eastAsia="ar-SA"/>
        </w:rPr>
        <w:t>8</w:t>
      </w:r>
      <w:r w:rsidR="001653BF" w:rsidRPr="0033162F">
        <w:rPr>
          <w:rFonts w:ascii="Times New Roman" w:eastAsia="Calibri" w:hAnsi="Times New Roman" w:cs="Calibri"/>
          <w:b/>
          <w:color w:val="000000" w:themeColor="text1"/>
          <w:lang w:eastAsia="ar-SA"/>
        </w:rPr>
        <w:t xml:space="preserve"> году по отношению к 201</w:t>
      </w:r>
      <w:r w:rsidR="00B83F50" w:rsidRPr="0033162F">
        <w:rPr>
          <w:rFonts w:ascii="Times New Roman" w:eastAsia="Calibri" w:hAnsi="Times New Roman" w:cs="Calibri"/>
          <w:b/>
          <w:color w:val="000000" w:themeColor="text1"/>
          <w:lang w:eastAsia="ar-SA"/>
        </w:rPr>
        <w:t>7</w:t>
      </w:r>
      <w:r w:rsidR="00E75661" w:rsidRPr="0033162F">
        <w:rPr>
          <w:rFonts w:ascii="Times New Roman" w:eastAsia="Calibri" w:hAnsi="Times New Roman" w:cs="Calibri"/>
          <w:b/>
          <w:color w:val="000000" w:themeColor="text1"/>
          <w:lang w:eastAsia="ar-SA"/>
        </w:rPr>
        <w:t xml:space="preserve"> году       </w:t>
      </w:r>
      <w:r w:rsidRPr="0033162F">
        <w:rPr>
          <w:rFonts w:ascii="Times New Roman" w:eastAsia="Calibri" w:hAnsi="Times New Roman" w:cs="Calibri"/>
          <w:b/>
          <w:color w:val="000000" w:themeColor="text1"/>
          <w:lang w:eastAsia="ar-SA"/>
        </w:rPr>
        <w:t xml:space="preserve"> </w:t>
      </w:r>
      <w:r w:rsidRPr="0033162F">
        <w:rPr>
          <w:rFonts w:ascii="Times New Roman" w:eastAsia="Calibri" w:hAnsi="Times New Roman" w:cs="Calibri"/>
          <w:color w:val="000000" w:themeColor="text1"/>
          <w:lang w:eastAsia="ar-SA"/>
        </w:rPr>
        <w:t xml:space="preserve">тыс. руб.  </w:t>
      </w:r>
    </w:p>
    <w:p w:rsidR="00814981" w:rsidRPr="0033162F" w:rsidRDefault="00814981" w:rsidP="00E7566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b/>
          <w:color w:val="000000" w:themeColor="text1"/>
          <w:lang w:eastAsia="ar-SA"/>
        </w:rPr>
      </w:pPr>
      <w:r w:rsidRPr="0033162F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59972C15" wp14:editId="1782F6FA">
            <wp:extent cx="5940425" cy="6129310"/>
            <wp:effectExtent l="0" t="0" r="22225" b="241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2521" w:rsidRPr="0033162F" w:rsidRDefault="00F72521" w:rsidP="00F72521">
      <w:pPr>
        <w:tabs>
          <w:tab w:val="left" w:pos="360"/>
          <w:tab w:val="left" w:pos="915"/>
        </w:tabs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lang w:eastAsia="ar-SA"/>
        </w:rPr>
        <w:t xml:space="preserve">                                                                                                    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</w:t>
      </w: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>Поступление налоговых доходов в разрезе конкретных налогов и сборов.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Налоговые доходы бюджета городского</w:t>
      </w:r>
      <w:r w:rsidR="00580C6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округа город Михайловка за 2</w:t>
      </w:r>
      <w:r w:rsidR="00D0589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01</w:t>
      </w:r>
      <w:r w:rsidR="001512C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="00D0589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 исполнены в сумме 661876,0 тыс. руб., или 98,9</w:t>
      </w:r>
      <w:r w:rsidR="007B611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% к первоначальному плану и 100,0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% к у</w:t>
      </w:r>
      <w:r w:rsidR="001922A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твержденному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плану.  </w:t>
      </w:r>
      <w:proofErr w:type="gramStart"/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По сравнению с предыдущим годом су</w:t>
      </w:r>
      <w:r w:rsidR="009F7FE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мма налоговых поступлений в 2018 году уменьш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и</w:t>
      </w:r>
      <w:r w:rsidR="009F7FE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лась на 358</w:t>
      </w:r>
      <w:r w:rsidR="00580C6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9F7FE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0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руб., и в общей структуре доходов составила  4</w:t>
      </w:r>
      <w:r w:rsidR="009F7FE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0</w:t>
      </w:r>
      <w:r w:rsidR="00AF7E4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9F7FE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%.  Снижение поступлений по налоговым доходам  наблюдается по </w:t>
      </w:r>
      <w:r w:rsidR="009F7FE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НДФЛ на 7366,3 тыс. руб.</w:t>
      </w:r>
      <w:r w:rsidR="00BC27A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или 1,6 %</w:t>
      </w:r>
      <w:r w:rsidR="009F7FE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, по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единому налогу на вмененный доход на </w:t>
      </w:r>
      <w:r w:rsidR="002D5A1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26</w:t>
      </w:r>
      <w:r w:rsidR="00BC27A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15,1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 или </w:t>
      </w:r>
      <w:r w:rsidR="002D5A1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5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BC27A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6 % , земельному налогу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на </w:t>
      </w:r>
      <w:r w:rsidR="002D5A1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6</w:t>
      </w:r>
      <w:r w:rsidR="00BC27A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446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BC27A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</w:t>
      </w:r>
      <w:r w:rsidR="00C572F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1512C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руб. или 7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BC27A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</w:t>
      </w:r>
      <w:r w:rsidR="00BC27A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 по налогу, взимаемому</w:t>
      </w:r>
      <w:proofErr w:type="gramEnd"/>
      <w:r w:rsidR="00BC27A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в связи с применением патентной системы на 967,9 тыс. руб. или на 28,3 %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.   Исполнение по </w:t>
      </w:r>
      <w:r w:rsidR="00A1573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НДФЛ </w:t>
      </w:r>
      <w:r w:rsidR="00CF358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в 2018 году составило 453954,0 тыс. руб., или 98,4 % от суммы предыдущего года. Объясняется снижением норматива отчислений от налога на доходы физических лиц с 53,2% до 47,3%. </w:t>
      </w:r>
      <w:r w:rsidR="00E35D6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Исполнение </w:t>
      </w:r>
      <w:r w:rsidR="00CF358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поступлений </w:t>
      </w:r>
      <w:r w:rsidR="00AF3C0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по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единому  налогу на вмененный доход в 201</w:t>
      </w:r>
      <w:r w:rsidR="00E35D6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году составило 4</w:t>
      </w:r>
      <w:r w:rsidR="00FA0F7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3795,5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руб., или 8</w:t>
      </w:r>
      <w:r w:rsidR="00FA0F7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5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FA0F7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7 % от первоначального плана, 97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FA0F7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0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%  от величины у</w:t>
      </w:r>
      <w:r w:rsidR="001922A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твержденного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плана и </w:t>
      </w:r>
      <w:r w:rsidR="002D5A1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94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FA0F7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4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 от суммы поступлений прошлого года. Снижение поступлений по отношению к предыдущему году и первоначальному плану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lastRenderedPageBreak/>
        <w:t xml:space="preserve">объясняется </w:t>
      </w:r>
      <w:r w:rsidR="00FA0F7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закрытием объектов розничной торговли,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снижением торговых площадей и уменьшением количества предпринимателей</w:t>
      </w:r>
      <w:r w:rsidR="00FA0F7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</w:t>
      </w:r>
      <w:r w:rsidR="002D5A1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55320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Уменьшились поступления и по налогу, взимаемому в связи с применением патентной системы налогообложения </w:t>
      </w:r>
      <w:r w:rsidR="00BA539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относительно первоначального плана на 1043,9 тыс. руб. или на 29,8 %, относительно суммы поступлений предыдущего года на 967,9 тыс. руб. или 28,3 %. </w:t>
      </w:r>
      <w:r w:rsidR="00AF3C0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Объясняется снижением количества предпринимателей. </w:t>
      </w:r>
      <w:r w:rsidR="00CD239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Учитывая, что в современных условиях важной составляющей развития экономики является малый и средний бизнес, а для моногородов развитие предпринимательства</w:t>
      </w:r>
      <w:r w:rsidR="00E73A9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CD239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-</w:t>
      </w:r>
      <w:r w:rsidR="00E73A9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CD239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одно из стратегических направлений, снижение количества налогоплательщиков, вышеуказанных налогов, и снижение доходов бюджета за счет поступления ЕНВД и налогам, взимаемым в связи с применением патентной системы</w:t>
      </w:r>
      <w:r w:rsidR="00E73A9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, является отрицательным изменением.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Снижение поступлений </w:t>
      </w:r>
      <w:r w:rsidR="00204F1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по </w:t>
      </w:r>
      <w:r w:rsidR="006C08E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земельному налогу</w:t>
      </w:r>
      <w:r w:rsidR="00D4548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относительно предыдущего года </w:t>
      </w:r>
      <w:r w:rsidR="00D84A2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на 6446,2 тыс. руб. или на 7,9 % объясняется ростом </w:t>
      </w:r>
      <w:r w:rsidR="00D4548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задолженности по земельному налогу с физических лиц</w:t>
      </w:r>
      <w:r w:rsidR="00E13DD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. </w:t>
      </w:r>
    </w:p>
    <w:p w:rsidR="00F72521" w:rsidRPr="0033162F" w:rsidRDefault="00F72521" w:rsidP="00F72521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По остальным налоговым платежам, в</w:t>
      </w:r>
      <w:r w:rsidR="00076EA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сравнении с предыдущим годом,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наблюдается рост поступлений:</w:t>
      </w:r>
    </w:p>
    <w:p w:rsidR="00F72521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</w:t>
      </w:r>
      <w:r w:rsidR="00173569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-налог на имущество физических лиц на </w:t>
      </w:r>
      <w:r w:rsidR="002D0246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1365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173569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тыс. руб., т.е. сумма поступлений увеличилась на </w:t>
      </w:r>
      <w:r w:rsidR="002D0246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7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2D0246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7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%;</w:t>
      </w:r>
    </w:p>
    <w:p w:rsidR="00F72521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      -по единому сельскохозяйственному налогу  на </w:t>
      </w:r>
      <w:r w:rsidR="002D0246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3388,8 тыс. руб., или на 26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2D0246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%;</w:t>
      </w:r>
    </w:p>
    <w:p w:rsidR="00F72521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      -</w:t>
      </w:r>
      <w:r w:rsidR="002D0246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акцизы на автомобильный и прямогонный бензин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на </w:t>
      </w:r>
      <w:r w:rsidR="00173569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7</w:t>
      </w:r>
      <w:r w:rsidR="002D0246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958,7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тыс. руб. или </w:t>
      </w:r>
      <w:r w:rsidR="002D0246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на 25,7</w:t>
      </w:r>
      <w:r w:rsidR="00173569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%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F72521" w:rsidRPr="0033162F" w:rsidRDefault="00F72521" w:rsidP="002D0246">
      <w:pPr>
        <w:spacing w:after="0" w:line="240" w:lineRule="auto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Повышение произошло в результате изменения законодательства, изменения нормативов отчислений, </w:t>
      </w:r>
      <w:r w:rsidR="00427A6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увеличением доходов от реализации урожая,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увеличением </w:t>
      </w:r>
      <w:r w:rsidR="00427A6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количества налогоплательщиков, вводом и приватизацией жилищного фонда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</w:t>
      </w:r>
      <w:r w:rsidR="00D32A7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План по доходам не исполнен  </w:t>
      </w:r>
      <w:r w:rsidR="00427A6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по НДФЛ</w:t>
      </w:r>
      <w:r w:rsidR="00D32A7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- 99</w:t>
      </w:r>
      <w:r w:rsidR="002E102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,8 %, </w:t>
      </w:r>
      <w:r w:rsidR="00D32A7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ЕНВД</w:t>
      </w:r>
      <w:r w:rsidR="00427A6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2E102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- 97,</w:t>
      </w:r>
      <w:r w:rsidR="00D32A7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</w:t>
      </w:r>
      <w:r w:rsidR="002E102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% (</w:t>
      </w:r>
      <w:r w:rsidR="00427A6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в связи </w:t>
      </w:r>
      <w:r w:rsidR="00D32A7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с</w:t>
      </w:r>
      <w:r w:rsidR="00F279D4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о сниже</w:t>
      </w:r>
      <w:r w:rsidR="00D32A7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нием числа </w:t>
      </w:r>
      <w:r w:rsidR="00F279D4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налого</w:t>
      </w:r>
      <w:r w:rsidR="00D32A7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плательщиков</w:t>
      </w:r>
      <w:r w:rsidR="00F279D4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).</w:t>
      </w:r>
      <w:r w:rsidR="00576DF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Выпадающая сумма доходов составила </w:t>
      </w:r>
      <w:r w:rsidR="001512C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2075,2</w:t>
      </w:r>
      <w:r w:rsidR="00576DF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="002E102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>Льготы  по налоговым платежам.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Льготы по земельному налогу установлены:</w:t>
      </w:r>
    </w:p>
    <w:p w:rsidR="00F72521" w:rsidRPr="0033162F" w:rsidRDefault="00F72521" w:rsidP="00F72521">
      <w:pPr>
        <w:numPr>
          <w:ilvl w:val="1"/>
          <w:numId w:val="35"/>
        </w:numPr>
        <w:autoSpaceDE w:val="0"/>
        <w:spacing w:after="0" w:line="100" w:lineRule="atLeast"/>
        <w:contextualSpacing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на основании Решений Михайловской городской Думы;</w:t>
      </w:r>
    </w:p>
    <w:p w:rsidR="00F72521" w:rsidRPr="0033162F" w:rsidRDefault="00F72521" w:rsidP="00F72521">
      <w:pPr>
        <w:numPr>
          <w:ilvl w:val="1"/>
          <w:numId w:val="35"/>
        </w:numPr>
        <w:autoSpaceDE w:val="0"/>
        <w:spacing w:after="0" w:line="100" w:lineRule="atLeast"/>
        <w:contextualSpacing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в соответствии со статьей 395 Налогового Кодекса РФ: 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        - органам местного самоуправления;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        - Ветеранам и инвалидам ВОВ, а также ветеранам и инвалидам боевых действий;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        -Героям Советского Союза, Героям Российской Федерации, полным кавалерам ордена Славы;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        - инвалидам, имеющим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val="en-US" w:eastAsia="ar-SA"/>
        </w:rPr>
        <w:t>I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группу инвалидности, а также лицам, имеющим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val="en-US" w:eastAsia="ar-SA"/>
        </w:rPr>
        <w:t>II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группу инвалидности;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        - инвалидам детства, лицам, имеющим на иждивении инвалидов детства; 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        - лицам, имеющим право на получение социальной поддержки по ФЗ РФ;</w:t>
      </w:r>
    </w:p>
    <w:p w:rsidR="00F72521" w:rsidRPr="0033162F" w:rsidRDefault="00F72521" w:rsidP="00F725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9010"/>
      <w:r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физическим лицам,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72521" w:rsidRPr="0033162F" w:rsidRDefault="00F72521" w:rsidP="00F725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9011"/>
      <w:bookmarkEnd w:id="0"/>
      <w:r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физическим лицам, получившим или перенесшим лучевую болезнь или ставшим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bookmarkEnd w:id="1"/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        -автономным учреждениям, бюджетным и казенным учреждениям, созданным органами местного самоуправления для осуществления управленческих, социально- культурных, научно- технических функций некоммерческого характера, деятельность которых финансируется из городского бюджета.</w:t>
      </w:r>
    </w:p>
    <w:p w:rsidR="00F72521" w:rsidRPr="0033162F" w:rsidRDefault="00F72521" w:rsidP="00F72521">
      <w:pPr>
        <w:keepNext/>
        <w:spacing w:before="240" w:after="6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162F">
        <w:rPr>
          <w:rFonts w:ascii="Times New Roman" w:eastAsia="Calibri" w:hAnsi="Times New Roman" w:cs="Calibri"/>
          <w:b/>
          <w:bCs/>
          <w:color w:val="000000" w:themeColor="text1"/>
          <w:kern w:val="32"/>
          <w:sz w:val="24"/>
          <w:szCs w:val="24"/>
          <w:lang w:val="x-none" w:eastAsia="ar-SA"/>
        </w:rPr>
        <w:lastRenderedPageBreak/>
        <w:t xml:space="preserve">         </w:t>
      </w:r>
      <w:r w:rsidRPr="0033162F">
        <w:rPr>
          <w:rFonts w:ascii="Times New Roman" w:eastAsia="Calibri" w:hAnsi="Times New Roman" w:cs="Times New Roman"/>
          <w:bCs/>
          <w:color w:val="000000" w:themeColor="text1"/>
          <w:kern w:val="32"/>
          <w:sz w:val="24"/>
          <w:szCs w:val="24"/>
          <w:lang w:val="x-none" w:eastAsia="ar-SA"/>
        </w:rPr>
        <w:t xml:space="preserve">Сумма выпадающих доходов по налогу на имущество в соответствии с Решением МГД     от 20.11.2014 года № 925 </w:t>
      </w:r>
      <w:r w:rsidRPr="003316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"О налоге на имущество физических лиц"</w:t>
      </w:r>
      <w:r w:rsidRPr="0033162F">
        <w:rPr>
          <w:rFonts w:ascii="Times New Roman" w:eastAsia="Calibri" w:hAnsi="Times New Roman" w:cs="Calibri"/>
          <w:bCs/>
          <w:color w:val="000000" w:themeColor="text1"/>
          <w:kern w:val="32"/>
          <w:sz w:val="24"/>
          <w:szCs w:val="24"/>
          <w:lang w:val="x-none" w:eastAsia="ar-SA"/>
        </w:rPr>
        <w:t>,  составила 23,1 тыс. руб. Льгота предоставлена  совместно проживающим родителям и детям многодетных семей, признанных таковыми согласно Закону Волгоградской области от 21 ноября 2008 г. N 1775-ОД "О мерах социальной поддержки многодетных семей в Волгоградской области", за исключением детей, находящихся на полном государственном обеспечении.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>Меры принудительного взыскания задолженности и состояние задолженности по налоговым платежам.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i/>
          <w:color w:val="000000" w:themeColor="text1"/>
          <w:sz w:val="24"/>
          <w:szCs w:val="24"/>
          <w:lang w:eastAsia="ar-SA"/>
        </w:rPr>
      </w:pP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В администрации городского округа город Михайловка продолжается работа межведомственной комиссии по мобилизации доходов в консолидированный бюджет Волгоградской области и бюджет городского округа, а также вопросам неформальной занятости. В работе комиссии принимают участие работники  налоговой службы, службы судебных приставов, начальники от</w:t>
      </w:r>
      <w:r w:rsidR="00B1783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дела администрации, руководитель</w:t>
      </w:r>
      <w:r w:rsidR="00F279D4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центра занятости населения,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представители внебюджетных государственных фондов</w:t>
      </w:r>
      <w:r w:rsidR="001373A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F279D4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1373A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к</w:t>
      </w:r>
      <w:r w:rsidR="00F279D4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онтролирующие органы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Задачами комиссии являются обеспечение взаимодействия территориальных подразделений федеральных органов исполнительной власти, исполнительных органов местного самоуправления при осуществлении ими своих полномочий по формированию и увеличению налоговых и неналоговых доходов, организация работы по обеспечению выполнения требований трудового законодательства в части своевременности и полноты выплаты заработной платы. Кроме того, на заседаниях комиссии рассматриваются вопросы соблюдения работодателями оплаты труда не ниже установленного регионального минимума и снижения неформальной занятости населения.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В результате проведенной работы по сокращению неформальной занято</w:t>
      </w:r>
      <w:r w:rsidR="00B1783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с</w:t>
      </w:r>
      <w:r w:rsidR="000D38B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ти населения с 965 наемными работниками заключены трудовые договоры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 в качестве индивидуальных предп</w:t>
      </w:r>
      <w:r w:rsidR="00784F6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ринимателей зарегистрирован</w:t>
      </w:r>
      <w:r w:rsidR="000D38B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456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человек.</w:t>
      </w:r>
    </w:p>
    <w:p w:rsidR="00B17832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В 2</w:t>
      </w:r>
      <w:r w:rsidR="00B1783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017 году комиссией проведено 12</w:t>
      </w:r>
      <w:r w:rsidR="001373A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7</w:t>
      </w:r>
      <w:r w:rsidR="00B1783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заседаний (на </w:t>
      </w:r>
      <w:r w:rsidR="001373A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7</w:t>
      </w:r>
      <w:r w:rsidR="00B1783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заседаний </w:t>
      </w:r>
      <w:r w:rsidR="001373A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больше, чем в 2017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году),</w:t>
      </w:r>
      <w:r w:rsidR="00B1783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на которые приглашено 2946</w:t>
      </w:r>
      <w:r w:rsidR="001373A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(-1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1373A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%) хозяйствующих субъек</w:t>
      </w:r>
      <w:r w:rsidR="000264F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та и физических лиц, из них 1498</w:t>
      </w:r>
      <w:r w:rsidR="00B1783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работодателя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по вопросам соблюдения регионального минимума по заработной плате и поступления</w:t>
      </w:r>
      <w:r w:rsidR="00B53874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м</w:t>
      </w:r>
      <w:r w:rsidR="004A050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НДФЛ</w:t>
      </w:r>
      <w:r w:rsidR="00B1783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</w:t>
      </w:r>
    </w:p>
    <w:p w:rsidR="00F72521" w:rsidRPr="0033162F" w:rsidRDefault="00B17832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По результатам работы комиссии в 201</w:t>
      </w:r>
      <w:r w:rsidR="001512C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году </w:t>
      </w:r>
      <w:r w:rsidR="00CD6CB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дополнительно поступило 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во все уровни бюджет</w:t>
      </w:r>
      <w:r w:rsidR="00CD6CB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а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0D38B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36624,6 тыс. руб. (11,5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</w:t>
      </w:r>
      <w:r w:rsidR="004A050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 по отношению к предыдущему году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), в том числе</w:t>
      </w:r>
      <w:r w:rsidR="00E84D7F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CD6CB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за счет увеличения</w:t>
      </w:r>
      <w:r w:rsidR="000D38B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налоговой базы привлечено- 2682,0</w:t>
      </w:r>
      <w:r w:rsidR="00CD6CB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. 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Однако,  несмотря  на принятые меры,  остается резерв пополнения доходной части бюджета в виде отработки оставшейся суммы текущей недоимки по налоговым платежам. </w:t>
      </w:r>
      <w:proofErr w:type="gramStart"/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Сумма  недоимки в городской б</w:t>
      </w:r>
      <w:r w:rsidR="000D38B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юджет по состоянию на 01.01.2019</w:t>
      </w:r>
      <w:r w:rsidR="00A14DF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года составила </w:t>
      </w:r>
      <w:r w:rsidR="00817A8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30477,2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</w:t>
      </w:r>
      <w:r w:rsidR="00A14DF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По сравнению с началом предыдущего года недоимка по налоговым платежам, которые являются основными в формировании м</w:t>
      </w:r>
      <w:r w:rsidR="00817A8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естного бюджета, выросла на 2470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817A8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 тыс. руб. или 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A14DF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%. Недоимка увеличилась по земельному налогу,</w:t>
      </w:r>
      <w:r w:rsidR="003520D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817A8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налогу на и</w:t>
      </w:r>
      <w:r w:rsidR="000B391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мущество физ. л</w:t>
      </w:r>
      <w:r w:rsidR="00817A8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иц, налогам со специальным налоговым режимом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</w:t>
      </w:r>
      <w:proofErr w:type="gramEnd"/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Недоимка является текущей со сроком уплаты 01.12.2016 года. Налогоплательщикам, допустившим недоимку, требования об уплате налогов направлены в соответствии с графиком УФНС </w:t>
      </w:r>
      <w:r w:rsidR="003520D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России по Волгоградской области.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Остальные меры</w:t>
      </w:r>
      <w:r w:rsidR="00817A8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принудительного взыскания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применены к налогоплательщикам по утвержденному графику ИФНС, согласно действую</w:t>
      </w:r>
      <w:r w:rsidR="003520D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щему законодательству,  в 20</w:t>
      </w:r>
      <w:r w:rsidR="00817A8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19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году.   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Сумма недоимки  по налоговым платежам, которые являются основными в форм</w:t>
      </w:r>
      <w:r w:rsidR="000D38B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ировании местного бюджета в 2018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году                                                                                  тыс. руб.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86"/>
        <w:gridCol w:w="1886"/>
        <w:gridCol w:w="1886"/>
        <w:gridCol w:w="1886"/>
        <w:gridCol w:w="2027"/>
      </w:tblGrid>
      <w:tr w:rsidR="0033162F" w:rsidRPr="0033162F" w:rsidTr="00092A9D"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521" w:rsidRPr="0033162F" w:rsidRDefault="00F72521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lastRenderedPageBreak/>
              <w:t>Недоимка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521" w:rsidRPr="0033162F" w:rsidRDefault="00F72521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НДФЛ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521" w:rsidRPr="0033162F" w:rsidRDefault="00F72521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521" w:rsidRPr="0033162F" w:rsidRDefault="00F72521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Налог на имущество физ. лиц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1" w:rsidRPr="0033162F" w:rsidRDefault="00817A88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Налоги со специальным налоговым режимом</w:t>
            </w:r>
          </w:p>
        </w:tc>
      </w:tr>
      <w:tr w:rsidR="0033162F" w:rsidRPr="0033162F" w:rsidTr="00092A9D"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B2" w:rsidRPr="0033162F" w:rsidRDefault="000D38B2" w:rsidP="008F165A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01.01.2018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B2" w:rsidRPr="0033162F" w:rsidRDefault="000D38B2" w:rsidP="008F165A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2670,9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B2" w:rsidRPr="0033162F" w:rsidRDefault="000D38B2" w:rsidP="008F165A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16066,7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B2" w:rsidRPr="0033162F" w:rsidRDefault="000D38B2" w:rsidP="008F165A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6369,9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B2" w:rsidRPr="0033162F" w:rsidRDefault="000D38B2" w:rsidP="008F165A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2898,9</w:t>
            </w:r>
          </w:p>
        </w:tc>
      </w:tr>
      <w:tr w:rsidR="0033162F" w:rsidRPr="0033162F" w:rsidTr="00092A9D"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B2" w:rsidRPr="0033162F" w:rsidRDefault="000D38B2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B2" w:rsidRPr="0033162F" w:rsidRDefault="000D38B2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2523,6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B2" w:rsidRPr="0033162F" w:rsidRDefault="000D38B2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16922,1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B2" w:rsidRPr="0033162F" w:rsidRDefault="000D38B2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7684,9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B2" w:rsidRPr="0033162F" w:rsidRDefault="000D38B2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3346,6</w:t>
            </w:r>
          </w:p>
        </w:tc>
      </w:tr>
      <w:tr w:rsidR="0033162F" w:rsidRPr="0033162F" w:rsidTr="00092A9D"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B2" w:rsidRPr="0033162F" w:rsidRDefault="000D38B2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Прирост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B2" w:rsidRPr="0033162F" w:rsidRDefault="000D38B2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-147,3</w:t>
            </w:r>
          </w:p>
          <w:p w:rsidR="000D38B2" w:rsidRPr="0033162F" w:rsidRDefault="00817A88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(+5,5</w:t>
            </w:r>
            <w:r w:rsidR="000D38B2"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B2" w:rsidRPr="0033162F" w:rsidRDefault="00817A88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+855,4</w:t>
            </w:r>
          </w:p>
          <w:p w:rsidR="000D38B2" w:rsidRPr="0033162F" w:rsidRDefault="00817A88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(+5,3</w:t>
            </w:r>
            <w:r w:rsidR="000D38B2"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B2" w:rsidRPr="0033162F" w:rsidRDefault="00817A88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1315</w:t>
            </w:r>
            <w:r w:rsidR="000D38B2"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,1</w:t>
            </w:r>
          </w:p>
          <w:p w:rsidR="000D38B2" w:rsidRPr="0033162F" w:rsidRDefault="00817A88" w:rsidP="00817A88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(20,6</w:t>
            </w:r>
            <w:r w:rsidR="000D38B2"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B2" w:rsidRPr="0033162F" w:rsidRDefault="00817A88" w:rsidP="00F7252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+447,7</w:t>
            </w:r>
          </w:p>
          <w:p w:rsidR="000D38B2" w:rsidRPr="0033162F" w:rsidRDefault="000D38B2" w:rsidP="00817A88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(+1</w:t>
            </w:r>
            <w:r w:rsidR="00817A88"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817A88"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4 </w:t>
            </w:r>
            <w:r w:rsidRPr="0033162F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eastAsia="ar-SA"/>
              </w:rPr>
              <w:t>%)</w:t>
            </w:r>
          </w:p>
        </w:tc>
      </w:tr>
    </w:tbl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                         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eastAsia="ar-SA"/>
        </w:rPr>
        <w:t>Поступление неналоговых доходов.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bCs/>
          <w:i/>
          <w:color w:val="000000" w:themeColor="text1"/>
          <w:sz w:val="24"/>
          <w:szCs w:val="24"/>
          <w:lang w:eastAsia="ar-SA"/>
        </w:rPr>
      </w:pP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</w:t>
      </w:r>
      <w:r w:rsidR="003D3E9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Неналоговые доходы в 201</w:t>
      </w:r>
      <w:r w:rsidR="001F3EF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="003D3E9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году исполнены </w:t>
      </w:r>
      <w:r w:rsidR="0013636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на 103,3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%  от п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лана и поступили в объеме 136452</w:t>
      </w:r>
      <w:r w:rsidR="003D3E9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 тыс. руб., что составляет  8</w:t>
      </w:r>
      <w:r w:rsidR="003D3E9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177FB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0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%  суммы доходов городс</w:t>
      </w:r>
      <w:r w:rsidR="003D3E9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кого округа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 По сравнению с 2017</w:t>
      </w:r>
      <w:r w:rsidR="003D3E9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годом, в 201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поступления</w:t>
      </w:r>
      <w:r w:rsidR="003D3E9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у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велич</w:t>
      </w:r>
      <w:r w:rsidR="003D3E9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ились на 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24768,9 </w:t>
      </w:r>
      <w:r w:rsidR="003D3E9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тыс. руб., или на 3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2,2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%.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Объем неналоговых доходов в первоначально утве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ржденном бюджете составил 124477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,0 тыс. руб., который в течение года уточнялся в сторону увеличения на 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</w:t>
      </w:r>
      <w:r w:rsidR="003D3E9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975</w:t>
      </w:r>
      <w:r w:rsidR="003D3E9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 Таким образом, отклонение от первоначально у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твержденного плана составляет 9</w:t>
      </w:r>
      <w:r w:rsidR="003D3E9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6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%. Структура неналоговых доходов выглядит следующим образом:</w:t>
      </w:r>
    </w:p>
    <w:p w:rsidR="00F72521" w:rsidRPr="0033162F" w:rsidRDefault="00F72521" w:rsidP="00F72521">
      <w:pPr>
        <w:numPr>
          <w:ilvl w:val="0"/>
          <w:numId w:val="4"/>
        </w:numPr>
        <w:tabs>
          <w:tab w:val="left" w:pos="360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доходы, получаемые в виде арендной либо ино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й платы за передачу имущества  71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%;</w:t>
      </w:r>
    </w:p>
    <w:p w:rsidR="00F72521" w:rsidRPr="0033162F" w:rsidRDefault="00F72521" w:rsidP="00F72521">
      <w:pPr>
        <w:numPr>
          <w:ilvl w:val="0"/>
          <w:numId w:val="4"/>
        </w:numPr>
        <w:tabs>
          <w:tab w:val="left" w:pos="360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доходы от продажи материал</w:t>
      </w:r>
      <w:r w:rsidR="003B54E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ьных и нематериальных активов  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7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%;</w:t>
      </w:r>
    </w:p>
    <w:p w:rsidR="00F72521" w:rsidRPr="0033162F" w:rsidRDefault="00F72521" w:rsidP="00F72521">
      <w:pPr>
        <w:numPr>
          <w:ilvl w:val="0"/>
          <w:numId w:val="4"/>
        </w:numPr>
        <w:tabs>
          <w:tab w:val="left" w:pos="360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доходы от оказания платных услуг и к</w:t>
      </w:r>
      <w:r w:rsidR="003B54E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омпенсации затрат государства  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="003B54E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%;</w:t>
      </w:r>
    </w:p>
    <w:p w:rsidR="00F72521" w:rsidRPr="0033162F" w:rsidRDefault="00177FB8" w:rsidP="00F72521">
      <w:pPr>
        <w:numPr>
          <w:ilvl w:val="0"/>
          <w:numId w:val="4"/>
        </w:numPr>
        <w:tabs>
          <w:tab w:val="left" w:pos="360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штрафы, санкции   6,8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%;</w:t>
      </w:r>
    </w:p>
    <w:p w:rsidR="00F72521" w:rsidRPr="0033162F" w:rsidRDefault="00E80B53" w:rsidP="00F72521">
      <w:pPr>
        <w:numPr>
          <w:ilvl w:val="0"/>
          <w:numId w:val="4"/>
        </w:numPr>
        <w:tabs>
          <w:tab w:val="left" w:pos="360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платежи при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поль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зовании природными ресурсами   1</w:t>
      </w:r>
      <w:r w:rsidR="003B54E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5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%;</w:t>
      </w:r>
    </w:p>
    <w:p w:rsidR="00F72521" w:rsidRPr="0033162F" w:rsidRDefault="00F72521" w:rsidP="00F72521">
      <w:pPr>
        <w:numPr>
          <w:ilvl w:val="0"/>
          <w:numId w:val="4"/>
        </w:numPr>
        <w:tabs>
          <w:tab w:val="left" w:pos="360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перечисление части прибыли муниципал</w:t>
      </w:r>
      <w:r w:rsidR="003B54E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ьных унитарных предприятий   1,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3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%;</w:t>
      </w:r>
    </w:p>
    <w:p w:rsidR="00F72521" w:rsidRPr="0033162F" w:rsidRDefault="00F72521" w:rsidP="00F72521">
      <w:pPr>
        <w:numPr>
          <w:ilvl w:val="0"/>
          <w:numId w:val="4"/>
        </w:numPr>
        <w:tabs>
          <w:tab w:val="left" w:pos="360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прочие доходы от 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использования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имущества и прав находящегося </w:t>
      </w:r>
      <w:r w:rsidR="00E80B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в муниципальной собственности  2,5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%;</w:t>
      </w:r>
    </w:p>
    <w:p w:rsidR="00F72521" w:rsidRPr="0033162F" w:rsidRDefault="00F72521" w:rsidP="00F72521">
      <w:pPr>
        <w:numPr>
          <w:ilvl w:val="0"/>
          <w:numId w:val="4"/>
        </w:numPr>
        <w:tabs>
          <w:tab w:val="left" w:pos="360"/>
        </w:tabs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пр</w:t>
      </w:r>
      <w:r w:rsidR="003B54E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очие неналоговые поступления  0,</w:t>
      </w:r>
      <w:r w:rsidR="00177FB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01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%.</w:t>
      </w:r>
    </w:p>
    <w:p w:rsidR="00F72521" w:rsidRPr="0033162F" w:rsidRDefault="00F72521" w:rsidP="00F72521">
      <w:pPr>
        <w:autoSpaceDE w:val="0"/>
        <w:spacing w:after="0" w:line="100" w:lineRule="atLeast"/>
        <w:ind w:left="360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Анализ структуры неналоговых доходов показал значительное изменение удельного веса доходов, получаемых в виде арендной или иной платы за передачу имущества (с </w:t>
      </w:r>
      <w:r w:rsidR="008F165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65,4% до 71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8F165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%), от продажи материальны</w:t>
      </w:r>
      <w:r w:rsidR="008F165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х и нематериальных активов (с 6,7</w:t>
      </w:r>
      <w:r w:rsidR="003B54E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% до </w:t>
      </w:r>
      <w:r w:rsidR="008F165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7</w:t>
      </w:r>
      <w:r w:rsidR="003B54E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8F165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%) и доходов от оказания платных услуг и комп</w:t>
      </w:r>
      <w:r w:rsidR="008F165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енсации затрат государства (с 9,8 % </w:t>
      </w:r>
      <w:proofErr w:type="gramStart"/>
      <w:r w:rsidR="008F165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до</w:t>
      </w:r>
      <w:proofErr w:type="gramEnd"/>
      <w:r w:rsidR="008F165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8</w:t>
      </w:r>
      <w:r w:rsidR="0087644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8F165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%).</w:t>
      </w:r>
    </w:p>
    <w:p w:rsidR="00F72521" w:rsidRPr="0033162F" w:rsidRDefault="00EA1C12" w:rsidP="00F725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3162F">
        <w:rPr>
          <w:noProof/>
          <w:color w:val="000000" w:themeColor="text1"/>
          <w:lang w:eastAsia="ru-RU"/>
        </w:rPr>
        <w:drawing>
          <wp:inline distT="0" distB="0" distL="0" distR="0" wp14:anchorId="7AA76B4F" wp14:editId="03CCA160">
            <wp:extent cx="4572000" cy="2743200"/>
            <wp:effectExtent l="3810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1C12" w:rsidRPr="0033162F" w:rsidRDefault="00EA1C12" w:rsidP="00F725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F72521" w:rsidRPr="0033162F" w:rsidRDefault="00F72521" w:rsidP="00F725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F72521" w:rsidRPr="0033162F" w:rsidRDefault="00F72521" w:rsidP="00EA1C12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lastRenderedPageBreak/>
        <w:t xml:space="preserve">                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u w:val="single"/>
          <w:lang w:eastAsia="ar-SA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сост</w:t>
      </w:r>
      <w:r w:rsidR="00EA1C1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авляют 103190</w:t>
      </w:r>
      <w:r w:rsidR="00E1657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EA1C1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</w:t>
      </w:r>
      <w:r w:rsidR="00E1657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 или 75,</w:t>
      </w:r>
      <w:r w:rsidR="00EA1C1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7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 в общей сумме неналоговых  платежей.  Бюдж</w:t>
      </w:r>
      <w:r w:rsidR="00E1657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етные назначения исполнены на </w:t>
      </w:r>
      <w:r w:rsidR="00EA1C1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104</w:t>
      </w:r>
      <w:r w:rsidR="00BE1BF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EA1C1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 к ут</w:t>
      </w:r>
      <w:r w:rsidR="00C04FD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вержденному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плану. </w:t>
      </w:r>
      <w:r w:rsidR="00EA1C1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К уровню 2017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года поступления у</w:t>
      </w:r>
      <w:r w:rsidR="00EA1C1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велич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ились на </w:t>
      </w:r>
      <w:r w:rsidR="00EA1C1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18544</w:t>
      </w:r>
      <w:r w:rsidR="0027601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EA1C1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3</w:t>
      </w:r>
      <w:r w:rsidR="0027601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руб., или на </w:t>
      </w:r>
      <w:r w:rsidR="00EA1C1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22,0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 .</w:t>
      </w:r>
      <w:r w:rsidR="00E1657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88413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Увеличение суммы доходов объясняется ростом поступлений по итогам проведения </w:t>
      </w:r>
      <w:proofErr w:type="spellStart"/>
      <w:r w:rsidR="0088413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претензионно</w:t>
      </w:r>
      <w:proofErr w:type="spellEnd"/>
      <w:r w:rsidR="0088413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-исковой работы по арендной плате за зе</w:t>
      </w:r>
      <w:r w:rsidR="00177FB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мельные участки (оплачено 7012,6</w:t>
      </w:r>
      <w:r w:rsidR="0088413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="005B594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) и заключением новых договоров о сдаче в аренду имущества, составляющего казну (+5761,2 тыс. руб.).</w:t>
      </w:r>
    </w:p>
    <w:p w:rsidR="00F72521" w:rsidRPr="0033162F" w:rsidRDefault="005B5940" w:rsidP="00F72521">
      <w:pPr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   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Вышеуказанные доходы включают в себя:</w:t>
      </w:r>
    </w:p>
    <w:p w:rsidR="00F72521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1.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ar-SA"/>
        </w:rPr>
        <w:t>Арендная или иная плата за передачу в возмездное пользование муниципального имущества</w:t>
      </w:r>
      <w:r w:rsidR="00C6425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сос</w:t>
      </w:r>
      <w:r w:rsidR="005B5940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тавляет 98049,6 тыс. руб. или 95,0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% от общей суммы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ar-SA"/>
        </w:rPr>
        <w:t>доходов от использования имущества, находящегося в государственной и муниципальной собственности</w:t>
      </w:r>
      <w:r w:rsidR="005B5940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 поступивших в 2018</w:t>
      </w:r>
      <w:r w:rsidR="00314279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году.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Фактическое поступление арендной платы или иной платы за передачу в  возмездное пользование имущества относительно первоначально утвержденных п</w:t>
      </w:r>
      <w:r w:rsidR="00C6425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лановых назначений составило 10</w:t>
      </w:r>
      <w:r w:rsidR="007231AE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7231AE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%. Плановые назначения у</w:t>
      </w:r>
      <w:r w:rsidR="00C6425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казанных доходов исполнен</w:t>
      </w:r>
      <w:r w:rsidR="00E42694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ы на 104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E42694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1 %. По сравнению с 2017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годом поступлени</w:t>
      </w:r>
      <w:r w:rsidR="00C6425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я по данному виду доходов у</w:t>
      </w:r>
      <w:r w:rsidR="00A83C99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величились на </w:t>
      </w:r>
      <w:r w:rsidR="00BB404C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18591</w:t>
      </w:r>
      <w:r w:rsidR="00C6425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BB404C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тыс. руб. или на  </w:t>
      </w:r>
      <w:r w:rsidR="00BB404C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23,4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%. Поступления по арендным платежам сложились исходя из кадастровой стоимости земельных участков с учетом коэффициентов, применяемых</w:t>
      </w:r>
      <w:proofErr w:type="gramEnd"/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при расчете арендной платы за земельные участки и поступлений от аренды муниципального имущества. </w:t>
      </w:r>
    </w:p>
    <w:p w:rsidR="00F72521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Calibri" w:eastAsia="Calibri" w:hAnsi="Calibri" w:cs="Calibri"/>
          <w:color w:val="000000" w:themeColor="text1"/>
          <w:lang w:eastAsia="ar-SA"/>
        </w:rPr>
        <w:t xml:space="preserve">               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 целях обеспечения дополнительных поступлений и сокращения задолженности в городском округе  действует постоянная комиссия по вопросам погашения задолженности в бюджет городского округа. Отделом земельных отношений проводится работа по направлению должникам досудебных требо</w:t>
      </w:r>
      <w:r w:rsidR="00B43A52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ваний о погашении задолженности, п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роводится работа по передаче материалов в отдел по правовому обеспечению для дальнейшего взыскания в судебном порядке. За период с 01.01.201</w:t>
      </w:r>
      <w:r w:rsidR="00A83C99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8 по 31.12.2018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года </w:t>
      </w:r>
      <w:r w:rsidR="00A83C99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направлено 1392</w:t>
      </w:r>
      <w:r w:rsidR="00BE1BFA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(на </w:t>
      </w:r>
      <w:r w:rsidR="00A83C99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934 бол</w:t>
      </w:r>
      <w:r w:rsidR="00BE1BFA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ьше, чем в предыдущем году</w:t>
      </w:r>
      <w:r w:rsidR="00B43A52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)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требова</w:t>
      </w:r>
      <w:r w:rsidR="00B43A52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ний на сумму 2</w:t>
      </w:r>
      <w:r w:rsidR="00A83C99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5155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A83C99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12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43A52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(-</w:t>
      </w:r>
      <w:r w:rsidR="00A83C99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488,8</w:t>
      </w:r>
      <w:r w:rsidR="00B43A52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)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тыс. руб. В результате  работы комиссии и отдела</w:t>
      </w:r>
      <w:r w:rsidR="00076EAF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должника</w:t>
      </w:r>
      <w:r w:rsidR="00A83C99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ми оплачено арендной платы по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предъяв</w:t>
      </w:r>
      <w:r w:rsidR="00A83C99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ленным претензиям в размере 7012,6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тыс. руб.</w:t>
      </w:r>
    </w:p>
    <w:p w:rsidR="006C4200" w:rsidRPr="0033162F" w:rsidRDefault="00F72521" w:rsidP="00F72521">
      <w:pPr>
        <w:spacing w:after="0" w:line="240" w:lineRule="auto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 </w:t>
      </w:r>
      <w:proofErr w:type="gramStart"/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Однако, несмотря на то, что работа по взысканию задолженности ведется активно, </w:t>
      </w:r>
      <w:r w:rsidR="00FE0B1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по состоянию на 01.01.201</w:t>
      </w:r>
      <w:r w:rsidR="0002348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года</w:t>
      </w:r>
      <w:r w:rsidR="00076EAF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по арендной плате за пользование земельным участком име</w:t>
      </w:r>
      <w:r w:rsidR="00FE0B1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ется задолженность в сумме 6</w:t>
      </w:r>
      <w:r w:rsidR="0002348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5560,0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02348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(-4140</w:t>
      </w:r>
      <w:r w:rsidR="00FE0B1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02348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</w:t>
      </w:r>
      <w:r w:rsidR="0031427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 относительно предыдущего года</w:t>
      </w:r>
      <w:r w:rsidR="00FE0B1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)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тыс. руб., в том </w:t>
      </w:r>
      <w:r w:rsidR="004C63B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числе текущая задолженность 201</w:t>
      </w:r>
      <w:r w:rsidR="0002348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17A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года </w:t>
      </w:r>
      <w:r w:rsidR="00870394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</w:t>
      </w:r>
      <w:r w:rsidR="0002348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5281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02348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0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руб., по наиболее крупным должника</w:t>
      </w:r>
      <w:r w:rsidR="00FF50E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м задолженность составляет  40582,3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руб., (в </w:t>
      </w:r>
      <w:proofErr w:type="spellStart"/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т.ч</w:t>
      </w:r>
      <w:proofErr w:type="spellEnd"/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., отработана задолженнос</w:t>
      </w:r>
      <w:r w:rsidR="00AA7C0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ть в полном</w:t>
      </w:r>
      <w:proofErr w:type="gramEnd"/>
      <w:r w:rsidR="00AA7C0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="00AA7C0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объеме в сумме </w:t>
      </w:r>
      <w:r w:rsidR="00BA677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23574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BA677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4</w:t>
      </w:r>
      <w:r w:rsidR="00076EAF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076EAF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Н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а остальную задолженность  к</w:t>
      </w:r>
      <w:r w:rsidR="00AA7C0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рупных плательщиков в сумме </w:t>
      </w:r>
      <w:r w:rsidR="00BA677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17007,9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 направлены только досудебные требования)</w:t>
      </w:r>
      <w:r w:rsidR="005B0E6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%, что свидетельствует о том, что администрирование данного платежа осуществляется на недостаточном уровне.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 В целом задолженнос</w:t>
      </w:r>
      <w:r w:rsidR="005657B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ть по сравнению с началом </w:t>
      </w:r>
      <w:r w:rsidR="007E658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года у</w:t>
      </w:r>
      <w:r w:rsidR="005B0E6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меньшилась</w:t>
      </w:r>
      <w:r w:rsidR="007E658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на </w:t>
      </w:r>
      <w:r w:rsidR="005B0E6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4140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5B0E6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</w:t>
      </w:r>
      <w:r w:rsidR="007E658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 </w:t>
      </w:r>
      <w:r w:rsidR="005B0E6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На состояние задолженности повлияли не только результаты </w:t>
      </w:r>
      <w:proofErr w:type="spellStart"/>
      <w:r w:rsidR="00936E5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претензионно</w:t>
      </w:r>
      <w:proofErr w:type="spellEnd"/>
      <w:r w:rsidR="00936E5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-исковой работы</w:t>
      </w:r>
      <w:r w:rsidR="006C420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(-7012,6 тыс. руб.), но и списание</w:t>
      </w:r>
      <w:proofErr w:type="gramEnd"/>
      <w:r w:rsidR="006C420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безнадежной к взысканию задолженности в сумме 10101,4 тыс. руб.</w:t>
      </w:r>
      <w:r w:rsidR="005B0E6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</w:p>
    <w:p w:rsidR="00992958" w:rsidRPr="0033162F" w:rsidRDefault="006C4200" w:rsidP="00F72521">
      <w:pPr>
        <w:spacing w:after="0" w:line="240" w:lineRule="auto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</w:t>
      </w:r>
      <w:r w:rsidR="00CA0F30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городского округа не в полной мере обеспечивались полномочия администратора доходов в части сокращения задолженности по заключенным договорам</w:t>
      </w:r>
      <w:r w:rsidR="00B37FFB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 муниципального имущества</w:t>
      </w:r>
      <w:r w:rsidR="00CA0F30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7FB8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01.01.2019 года</w:t>
      </w:r>
      <w:r w:rsidR="00CA0F30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общая сумма задолженности по доходам от </w:t>
      </w:r>
      <w:r w:rsidR="00BA204F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аренды муниципального имущества</w:t>
      </w:r>
      <w:r w:rsidR="00FF5C7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92563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по наиболее крупным плательщикам</w:t>
      </w:r>
      <w:r w:rsidR="00177FB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составила</w:t>
      </w:r>
      <w:r w:rsidR="00FF5C7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1</w:t>
      </w:r>
      <w:r w:rsidR="0092563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01,9</w:t>
      </w:r>
      <w:r w:rsidR="00FF5C7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="0099295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:</w:t>
      </w:r>
    </w:p>
    <w:p w:rsidR="00D06A02" w:rsidRPr="0033162F" w:rsidRDefault="0018447D" w:rsidP="00F72521">
      <w:pPr>
        <w:spacing w:after="0" w:line="240" w:lineRule="auto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-</w:t>
      </w:r>
      <w:r w:rsidR="00D06A0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ОАО «</w:t>
      </w:r>
      <w:proofErr w:type="spellStart"/>
      <w:r w:rsidR="00D06A0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Себряковтелеком</w:t>
      </w:r>
      <w:proofErr w:type="spellEnd"/>
      <w:r w:rsidR="00D06A0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» </w:t>
      </w:r>
      <w:r w:rsidR="0092563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81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92563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руб.;</w:t>
      </w:r>
    </w:p>
    <w:p w:rsidR="0018447D" w:rsidRPr="0033162F" w:rsidRDefault="0018447D" w:rsidP="00F72521">
      <w:pPr>
        <w:spacing w:after="0" w:line="240" w:lineRule="auto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-</w:t>
      </w:r>
      <w:r w:rsidR="0092563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Заяц А.В. 2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0,7 тыс. руб.</w:t>
      </w:r>
    </w:p>
    <w:p w:rsidR="00F72521" w:rsidRPr="0033162F" w:rsidRDefault="0018447D" w:rsidP="00F72521">
      <w:pPr>
        <w:spacing w:after="0" w:line="240" w:lineRule="auto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lastRenderedPageBreak/>
        <w:t xml:space="preserve">             </w:t>
      </w:r>
      <w:r w:rsidR="0099295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Для взыскания задолженности по состоянию на 01.01.201</w:t>
      </w:r>
      <w:r w:rsidR="0092563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</w:t>
      </w:r>
      <w:r w:rsidR="0099295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года администрацией </w:t>
      </w:r>
      <w:r w:rsidR="0092563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проведена только досудебная претензионная работа</w:t>
      </w:r>
      <w:r w:rsidR="0099295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то есть </w:t>
      </w:r>
      <w:r w:rsidR="0099295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задолженность отработана не в полном объеме и 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остается резерв пополнения доходной части бюджета. </w:t>
      </w:r>
    </w:p>
    <w:p w:rsidR="00F94AF9" w:rsidRPr="0033162F" w:rsidRDefault="00F72521" w:rsidP="00F72521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u w:val="single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2. </w:t>
      </w:r>
      <w:proofErr w:type="gramStart"/>
      <w:r w:rsidR="00F94AF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В соответствии со ст.</w:t>
      </w:r>
      <w:r w:rsidR="00076EAF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F94AF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62 БК РФ неналоговые доходы местных бюджетов формируются в соответствии со ст. 41,42 и 46 БК РФ, в том числе за счет части прибыли МУП,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  <w:proofErr w:type="gramEnd"/>
    </w:p>
    <w:p w:rsidR="00D74E79" w:rsidRPr="0033162F" w:rsidRDefault="00D74E79" w:rsidP="00F72521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</w:t>
      </w:r>
      <w:r w:rsidR="00F444B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DF01C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Пунктом </w:t>
      </w:r>
      <w:r w:rsidR="009B7D9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2.3. </w:t>
      </w:r>
      <w:proofErr w:type="gramStart"/>
      <w:r w:rsidR="009B7D9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Решения Михайловской городской Думы Волгоградской обл</w:t>
      </w:r>
      <w:r w:rsidR="00076EAF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асти от 16.04.2014 года № 876 «</w:t>
      </w:r>
      <w:r w:rsidR="009B7D9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Об утверждении Порядка определения размера части прибыли, подлежащей перечислению в бюджет городского округа город Михайловка Волгоградской области муниципальными унитарными предприятиями» </w:t>
      </w:r>
      <w:r w:rsidR="00DF01C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предусмотрено, что </w:t>
      </w:r>
      <w:r w:rsidR="009B7D9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размер части прибыли, подлежащей перечислению в бюджет городского округа муниципальным унитарным предприятиям, устанавливается Михайловской городской Думой и не может быть более 25% и менее 10%, остающейся в распоряжении</w:t>
      </w:r>
      <w:proofErr w:type="gramEnd"/>
      <w:r w:rsidR="009B7D9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муниципальных унитарных предприятий прибыли после уплаты налогов и иных обязательных платежей на очередной финансовый год. </w:t>
      </w:r>
      <w:r w:rsidR="000054C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Пунктом 3.1. вышеуказанного Решения установлен срок  уплаты части прибыли, остающейся в распоряжении МУП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, а именно,  </w:t>
      </w:r>
      <w:r w:rsidR="00C231A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до 1 августа</w:t>
      </w:r>
      <w:r w:rsidR="000054C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. </w:t>
      </w:r>
    </w:p>
    <w:p w:rsidR="00EF1466" w:rsidRPr="0033162F" w:rsidRDefault="00D74E79" w:rsidP="00DF01C9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u w:val="single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</w:t>
      </w:r>
      <w:r w:rsidR="000054C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Решением Михайловской городской Думы Волгоградской области от 11.06.2014 года № 882 «Об установлении размера отчислений части прибыли муниципальных унитарных предприятий, </w:t>
      </w:r>
      <w:r w:rsidR="00C231A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подлежащей перечислению в бюджет городского округа город Михайловка Волгоградской области» утвержден р</w:t>
      </w:r>
      <w:r w:rsidR="000054C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азмер части прибыли, остающейся в распоряжении муниципальных унитарных предприятий</w:t>
      </w:r>
      <w:r w:rsidR="00C231A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 подлеж</w:t>
      </w:r>
      <w:r w:rsidR="0003175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ащей перечислению в бюджет – 15 процентов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</w:t>
      </w:r>
      <w:r w:rsidR="000054C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</w:t>
      </w:r>
      <w:r w:rsidR="00C231A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Согласно протоколу заседания балансовой комиссии по определению эффективности деятельности муниципальных унитарных предприятий</w:t>
      </w:r>
      <w:r w:rsidR="0041069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C231A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по итогам работы за 201</w:t>
      </w:r>
      <w:r w:rsidR="001E1BB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7</w:t>
      </w:r>
      <w:r w:rsidR="00C231A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</w:t>
      </w:r>
      <w:r w:rsidR="0041069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1E1BB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от 19</w:t>
      </w:r>
      <w:r w:rsidR="00C231A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.04.201</w:t>
      </w:r>
      <w:r w:rsidR="001E1BB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="00C231A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года результато</w:t>
      </w:r>
      <w:r w:rsidR="00335FF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м хозяйственной деятельности пя</w:t>
      </w:r>
      <w:r w:rsidR="00C231A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ти муниципальных унитарных предприятий из девяти является прибыль. 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Постановлением Администрации городского округа город Михайл</w:t>
      </w:r>
      <w:r w:rsidR="00335FF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овка Волгоградской области от 13.06.2018</w:t>
      </w:r>
      <w:r w:rsidR="00E7665F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г.</w:t>
      </w:r>
      <w:r w:rsidR="005D50F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335FF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№ 1227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«О перечислении части прибыли муниципальных унитарных предприятий в бюджет городского округа город Михайловка Волгоградской области»</w:t>
      </w:r>
      <w:r w:rsidR="00DF01C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установлено, что муниципальным унитарным предприятиям</w:t>
      </w:r>
      <w:r w:rsidR="002A01D4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DF01C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в срок до 1 августа</w:t>
      </w:r>
      <w:r w:rsidR="002A01D4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, </w:t>
      </w:r>
      <w:r w:rsidR="00385EE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необходимо перечислить 15 процентов </w:t>
      </w:r>
      <w:r w:rsidR="00DF01C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5D50F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части прибыли</w:t>
      </w:r>
      <w:r w:rsidR="00DF01C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 оставшейся после уплаты налогов</w:t>
      </w:r>
      <w:r w:rsidR="007942A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, </w:t>
      </w:r>
      <w:r w:rsidR="00DF01C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в бюджет города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</w:t>
      </w:r>
      <w:r w:rsidR="00DF01C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Проверкой установлено</w:t>
      </w:r>
      <w:r w:rsidR="004723D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 чт</w:t>
      </w:r>
      <w:proofErr w:type="gramStart"/>
      <w:r w:rsidR="004723D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о </w:t>
      </w:r>
      <w:r w:rsidR="00335FF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ООО</w:t>
      </w:r>
      <w:proofErr w:type="gramEnd"/>
      <w:r w:rsidR="00DF01C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«М</w:t>
      </w:r>
      <w:r w:rsidR="0091270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ихайловский </w:t>
      </w:r>
      <w:proofErr w:type="spellStart"/>
      <w:r w:rsidR="0091270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райкомхоз</w:t>
      </w:r>
      <w:proofErr w:type="spellEnd"/>
      <w:r w:rsidR="004723D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» </w:t>
      </w:r>
      <w:r w:rsidR="0041069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15 </w:t>
      </w:r>
      <w:r w:rsidR="00214DA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процентов</w:t>
      </w:r>
      <w:r w:rsidR="0041069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410693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части прибыли</w:t>
      </w:r>
      <w:r w:rsidR="00214DA8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 140,0 тыс. руб.)</w:t>
      </w:r>
      <w:r w:rsidR="00410693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, остающейся в распоряжении МУП</w:t>
      </w:r>
      <w:r w:rsidR="00912708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DA8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12708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МУП «Миха</w:t>
      </w:r>
      <w:r w:rsidR="00214DA8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йловский </w:t>
      </w:r>
      <w:proofErr w:type="spellStart"/>
      <w:r w:rsidR="00214DA8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райкомхоз</w:t>
      </w:r>
      <w:proofErr w:type="spellEnd"/>
      <w:r w:rsidR="00214DA8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»), подлежащих</w:t>
      </w:r>
      <w:r w:rsidR="00410693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перечислению в бюджет городского округа город Михайловка Волгоградской области</w:t>
      </w:r>
      <w:r w:rsidR="0091270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за 2017</w:t>
      </w:r>
      <w:r w:rsidR="0041069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 </w:t>
      </w:r>
      <w:r w:rsidR="0091270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перечислены в бюджет </w:t>
      </w:r>
      <w:r w:rsidR="005B5ED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с нарушением срока</w:t>
      </w:r>
      <w:r w:rsidR="0041069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 а именно,</w:t>
      </w:r>
      <w:r w:rsidR="005B5ED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214DA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20 сентября</w:t>
      </w:r>
      <w:r w:rsidR="007D1A3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214DA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2018</w:t>
      </w:r>
      <w:r w:rsidR="0003175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года.</w:t>
      </w:r>
      <w:r w:rsidR="0003175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u w:val="single"/>
          <w:lang w:eastAsia="ar-SA"/>
        </w:rPr>
        <w:t xml:space="preserve"> </w:t>
      </w:r>
    </w:p>
    <w:p w:rsidR="00F94AF9" w:rsidRPr="0033162F" w:rsidRDefault="00F94AF9" w:rsidP="00F72521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545"/>
        <w:gridCol w:w="3359"/>
        <w:gridCol w:w="1889"/>
        <w:gridCol w:w="1891"/>
        <w:gridCol w:w="1887"/>
      </w:tblGrid>
      <w:tr w:rsidR="0033162F" w:rsidRPr="0033162F" w:rsidTr="005B5ED3">
        <w:tc>
          <w:tcPr>
            <w:tcW w:w="284" w:type="pct"/>
          </w:tcPr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55" w:type="pct"/>
          </w:tcPr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Муниципальные унитарные предприятия</w:t>
            </w:r>
          </w:p>
        </w:tc>
        <w:tc>
          <w:tcPr>
            <w:tcW w:w="987" w:type="pct"/>
          </w:tcPr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Чистая</w:t>
            </w:r>
          </w:p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 xml:space="preserve"> Прибыль</w:t>
            </w:r>
          </w:p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ф. по ОКУД</w:t>
            </w:r>
          </w:p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0710002</w:t>
            </w:r>
          </w:p>
        </w:tc>
        <w:tc>
          <w:tcPr>
            <w:tcW w:w="988" w:type="pct"/>
          </w:tcPr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Сумма, подлежащая перечислению в бюджет (тыс. руб.)</w:t>
            </w:r>
          </w:p>
        </w:tc>
        <w:tc>
          <w:tcPr>
            <w:tcW w:w="987" w:type="pct"/>
          </w:tcPr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center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 xml:space="preserve">Фактически перечислено в бюджет городского округа </w:t>
            </w:r>
          </w:p>
        </w:tc>
      </w:tr>
      <w:tr w:rsidR="0033162F" w:rsidRPr="0033162F" w:rsidTr="005B5ED3">
        <w:tc>
          <w:tcPr>
            <w:tcW w:w="284" w:type="pct"/>
          </w:tcPr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55" w:type="pct"/>
          </w:tcPr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МУП «</w:t>
            </w:r>
            <w:proofErr w:type="spellStart"/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Михайловкажилпромгаз</w:t>
            </w:r>
            <w:proofErr w:type="spellEnd"/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87" w:type="pct"/>
          </w:tcPr>
          <w:p w:rsidR="00F72521" w:rsidRPr="0033162F" w:rsidRDefault="00F91129" w:rsidP="00F91129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10171,0</w:t>
            </w:r>
          </w:p>
        </w:tc>
        <w:tc>
          <w:tcPr>
            <w:tcW w:w="988" w:type="pct"/>
          </w:tcPr>
          <w:p w:rsidR="00F72521" w:rsidRPr="0033162F" w:rsidRDefault="00F91129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1525,65</w:t>
            </w:r>
          </w:p>
        </w:tc>
        <w:tc>
          <w:tcPr>
            <w:tcW w:w="987" w:type="pct"/>
          </w:tcPr>
          <w:p w:rsidR="00F72521" w:rsidRPr="0033162F" w:rsidRDefault="00511483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 xml:space="preserve">пл. пор.№ </w:t>
            </w:r>
            <w:r w:rsidR="00335FF2" w:rsidRPr="0033162F">
              <w:rPr>
                <w:rFonts w:eastAsia="Calibri" w:cs="Calibri"/>
                <w:color w:val="000000" w:themeColor="text1"/>
                <w:lang w:eastAsia="ar-SA"/>
              </w:rPr>
              <w:t>491</w:t>
            </w:r>
            <w:r w:rsidRPr="0033162F">
              <w:rPr>
                <w:rFonts w:eastAsia="Calibri" w:cs="Calibri"/>
                <w:color w:val="000000" w:themeColor="text1"/>
                <w:lang w:eastAsia="ar-SA"/>
              </w:rPr>
              <w:t xml:space="preserve"> от </w:t>
            </w:r>
            <w:r w:rsidR="00335FF2" w:rsidRPr="0033162F">
              <w:rPr>
                <w:rFonts w:eastAsia="Calibri" w:cs="Calibri"/>
                <w:color w:val="000000" w:themeColor="text1"/>
                <w:lang w:eastAsia="ar-SA"/>
              </w:rPr>
              <w:t>22</w:t>
            </w:r>
            <w:r w:rsidR="00F72521" w:rsidRPr="0033162F">
              <w:rPr>
                <w:rFonts w:eastAsia="Calibri" w:cs="Calibri"/>
                <w:color w:val="000000" w:themeColor="text1"/>
                <w:lang w:eastAsia="ar-SA"/>
              </w:rPr>
              <w:t>.0</w:t>
            </w:r>
            <w:r w:rsidR="00335FF2" w:rsidRPr="0033162F">
              <w:rPr>
                <w:rFonts w:eastAsia="Calibri" w:cs="Calibri"/>
                <w:color w:val="000000" w:themeColor="text1"/>
                <w:lang w:eastAsia="ar-SA"/>
              </w:rPr>
              <w:t>6</w:t>
            </w:r>
            <w:r w:rsidR="00F72521" w:rsidRPr="0033162F">
              <w:rPr>
                <w:rFonts w:eastAsia="Calibri" w:cs="Calibri"/>
                <w:color w:val="000000" w:themeColor="text1"/>
                <w:lang w:eastAsia="ar-SA"/>
              </w:rPr>
              <w:t>.201</w:t>
            </w:r>
            <w:r w:rsidR="00335FF2" w:rsidRPr="0033162F">
              <w:rPr>
                <w:rFonts w:eastAsia="Calibri" w:cs="Calibri"/>
                <w:color w:val="000000" w:themeColor="text1"/>
                <w:lang w:eastAsia="ar-SA"/>
              </w:rPr>
              <w:t>8 на сумму 1525</w:t>
            </w:r>
            <w:r w:rsidR="00F72521" w:rsidRPr="0033162F">
              <w:rPr>
                <w:rFonts w:eastAsia="Calibri" w:cs="Calibri"/>
                <w:color w:val="000000" w:themeColor="text1"/>
                <w:lang w:eastAsia="ar-SA"/>
              </w:rPr>
              <w:t>,</w:t>
            </w:r>
            <w:r w:rsidR="00335FF2" w:rsidRPr="0033162F">
              <w:rPr>
                <w:rFonts w:eastAsia="Calibri" w:cs="Calibri"/>
                <w:color w:val="000000" w:themeColor="text1"/>
                <w:lang w:eastAsia="ar-SA"/>
              </w:rPr>
              <w:t>65</w:t>
            </w:r>
            <w:r w:rsidR="00F72521" w:rsidRPr="0033162F">
              <w:rPr>
                <w:rFonts w:eastAsia="Calibri" w:cs="Calibri"/>
                <w:color w:val="000000" w:themeColor="text1"/>
                <w:lang w:eastAsia="ar-SA"/>
              </w:rPr>
              <w:t xml:space="preserve"> тыс. руб.</w:t>
            </w:r>
          </w:p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3162F" w:rsidRPr="0033162F" w:rsidTr="005B5ED3">
        <w:tc>
          <w:tcPr>
            <w:tcW w:w="284" w:type="pct"/>
          </w:tcPr>
          <w:p w:rsidR="00F72521" w:rsidRPr="0033162F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F72521"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55" w:type="pct"/>
          </w:tcPr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МУП «Банно-прачечный комбинат»</w:t>
            </w:r>
          </w:p>
        </w:tc>
        <w:tc>
          <w:tcPr>
            <w:tcW w:w="987" w:type="pct"/>
          </w:tcPr>
          <w:p w:rsidR="00F72521" w:rsidRPr="0033162F" w:rsidRDefault="00F91129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-985</w:t>
            </w:r>
            <w:r w:rsidR="00F72521"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8" w:type="pct"/>
          </w:tcPr>
          <w:p w:rsidR="00F72521" w:rsidRPr="0033162F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7" w:type="pct"/>
          </w:tcPr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3162F" w:rsidRPr="0033162F" w:rsidTr="005B5ED3">
        <w:tc>
          <w:tcPr>
            <w:tcW w:w="284" w:type="pct"/>
          </w:tcPr>
          <w:p w:rsidR="00F72521" w:rsidRPr="0033162F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F72521"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55" w:type="pct"/>
          </w:tcPr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МУП «Муниципальная аптека»</w:t>
            </w:r>
          </w:p>
        </w:tc>
        <w:tc>
          <w:tcPr>
            <w:tcW w:w="987" w:type="pct"/>
          </w:tcPr>
          <w:p w:rsidR="00F72521" w:rsidRPr="0033162F" w:rsidRDefault="00F91129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965</w:t>
            </w:r>
            <w:r w:rsidR="00E57055"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8" w:type="pct"/>
          </w:tcPr>
          <w:p w:rsidR="00F72521" w:rsidRPr="0033162F" w:rsidRDefault="00F91129" w:rsidP="00F91129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144,75</w:t>
            </w:r>
          </w:p>
        </w:tc>
        <w:tc>
          <w:tcPr>
            <w:tcW w:w="987" w:type="pct"/>
          </w:tcPr>
          <w:p w:rsidR="00F72521" w:rsidRPr="0033162F" w:rsidRDefault="00F72521" w:rsidP="00335FF2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 xml:space="preserve">пл. </w:t>
            </w:r>
            <w:r w:rsidR="00511483" w:rsidRPr="0033162F">
              <w:rPr>
                <w:rFonts w:eastAsia="Calibri" w:cs="Calibri"/>
                <w:color w:val="000000" w:themeColor="text1"/>
                <w:lang w:eastAsia="ar-SA"/>
              </w:rPr>
              <w:t xml:space="preserve">пор.№ </w:t>
            </w:r>
            <w:r w:rsidR="00335FF2" w:rsidRPr="0033162F">
              <w:rPr>
                <w:rFonts w:eastAsia="Calibri" w:cs="Calibri"/>
                <w:color w:val="000000" w:themeColor="text1"/>
                <w:lang w:eastAsia="ar-SA"/>
              </w:rPr>
              <w:t>469 от 22</w:t>
            </w:r>
            <w:r w:rsidRPr="0033162F">
              <w:rPr>
                <w:rFonts w:eastAsia="Calibri" w:cs="Calibri"/>
                <w:color w:val="000000" w:themeColor="text1"/>
                <w:lang w:eastAsia="ar-SA"/>
              </w:rPr>
              <w:t>.0</w:t>
            </w:r>
            <w:r w:rsidR="00335FF2" w:rsidRPr="0033162F">
              <w:rPr>
                <w:rFonts w:eastAsia="Calibri" w:cs="Calibri"/>
                <w:color w:val="000000" w:themeColor="text1"/>
                <w:lang w:eastAsia="ar-SA"/>
              </w:rPr>
              <w:t>6</w:t>
            </w:r>
            <w:r w:rsidR="00511483" w:rsidRPr="0033162F">
              <w:rPr>
                <w:rFonts w:eastAsia="Calibri" w:cs="Calibri"/>
                <w:color w:val="000000" w:themeColor="text1"/>
                <w:lang w:eastAsia="ar-SA"/>
              </w:rPr>
              <w:t>.201</w:t>
            </w:r>
            <w:r w:rsidR="00335FF2" w:rsidRPr="0033162F">
              <w:rPr>
                <w:rFonts w:eastAsia="Calibri" w:cs="Calibri"/>
                <w:color w:val="000000" w:themeColor="text1"/>
                <w:lang w:eastAsia="ar-SA"/>
              </w:rPr>
              <w:t>8</w:t>
            </w:r>
            <w:r w:rsidR="00511483" w:rsidRPr="0033162F">
              <w:rPr>
                <w:rFonts w:eastAsia="Calibri" w:cs="Calibri"/>
                <w:color w:val="000000" w:themeColor="text1"/>
                <w:lang w:eastAsia="ar-SA"/>
              </w:rPr>
              <w:t xml:space="preserve"> на сумму </w:t>
            </w:r>
            <w:r w:rsidR="00335FF2" w:rsidRPr="0033162F">
              <w:rPr>
                <w:rFonts w:eastAsia="Calibri" w:cs="Calibri"/>
                <w:color w:val="000000" w:themeColor="text1"/>
                <w:lang w:eastAsia="ar-SA"/>
              </w:rPr>
              <w:t>144</w:t>
            </w:r>
            <w:r w:rsidR="00511483" w:rsidRPr="0033162F">
              <w:rPr>
                <w:rFonts w:eastAsia="Calibri" w:cs="Calibri"/>
                <w:color w:val="000000" w:themeColor="text1"/>
                <w:lang w:eastAsia="ar-SA"/>
              </w:rPr>
              <w:t>,</w:t>
            </w:r>
            <w:r w:rsidR="00335FF2" w:rsidRPr="0033162F">
              <w:rPr>
                <w:rFonts w:eastAsia="Calibri" w:cs="Calibri"/>
                <w:color w:val="000000" w:themeColor="text1"/>
                <w:lang w:eastAsia="ar-SA"/>
              </w:rPr>
              <w:t>8</w:t>
            </w:r>
            <w:r w:rsidRPr="0033162F">
              <w:rPr>
                <w:rFonts w:eastAsia="Calibri" w:cs="Calibri"/>
                <w:color w:val="000000" w:themeColor="text1"/>
                <w:lang w:eastAsia="ar-SA"/>
              </w:rPr>
              <w:t xml:space="preserve"> тыс. руб.</w:t>
            </w:r>
          </w:p>
        </w:tc>
      </w:tr>
      <w:tr w:rsidR="0033162F" w:rsidRPr="0033162F" w:rsidTr="005B5ED3">
        <w:tc>
          <w:tcPr>
            <w:tcW w:w="284" w:type="pct"/>
          </w:tcPr>
          <w:p w:rsidR="00F72521" w:rsidRPr="0033162F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lastRenderedPageBreak/>
              <w:t>4</w:t>
            </w:r>
            <w:r w:rsidR="00F72521"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55" w:type="pct"/>
          </w:tcPr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МУП «Прометей»</w:t>
            </w:r>
          </w:p>
        </w:tc>
        <w:tc>
          <w:tcPr>
            <w:tcW w:w="987" w:type="pct"/>
          </w:tcPr>
          <w:p w:rsidR="00F72521" w:rsidRPr="0033162F" w:rsidRDefault="00D0124A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91</w:t>
            </w:r>
            <w:r w:rsidR="00F72521"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8" w:type="pct"/>
          </w:tcPr>
          <w:p w:rsidR="00F72521" w:rsidRPr="0033162F" w:rsidRDefault="00D0124A" w:rsidP="00D0124A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13</w:t>
            </w:r>
            <w:r w:rsidR="00E57055"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,</w:t>
            </w: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E57055"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F72521"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7" w:type="pct"/>
          </w:tcPr>
          <w:p w:rsidR="00F72521" w:rsidRPr="0033162F" w:rsidRDefault="00511483" w:rsidP="00335FF2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 xml:space="preserve">пл. пор.№ </w:t>
            </w:r>
            <w:r w:rsidR="00335FF2" w:rsidRPr="0033162F">
              <w:rPr>
                <w:rFonts w:eastAsia="Calibri" w:cs="Calibri"/>
                <w:color w:val="000000" w:themeColor="text1"/>
                <w:lang w:eastAsia="ar-SA"/>
              </w:rPr>
              <w:t>82 от 01.08</w:t>
            </w:r>
            <w:r w:rsidR="00F72521" w:rsidRPr="0033162F">
              <w:rPr>
                <w:rFonts w:eastAsia="Calibri" w:cs="Calibri"/>
                <w:color w:val="000000" w:themeColor="text1"/>
                <w:lang w:eastAsia="ar-SA"/>
              </w:rPr>
              <w:t>.201</w:t>
            </w:r>
            <w:r w:rsidR="00335FF2" w:rsidRPr="0033162F">
              <w:rPr>
                <w:rFonts w:eastAsia="Calibri" w:cs="Calibri"/>
                <w:color w:val="000000" w:themeColor="text1"/>
                <w:lang w:eastAsia="ar-SA"/>
              </w:rPr>
              <w:t>8 на сумму 13,7</w:t>
            </w:r>
            <w:r w:rsidR="00F72521" w:rsidRPr="0033162F">
              <w:rPr>
                <w:rFonts w:eastAsia="Calibri" w:cs="Calibri"/>
                <w:color w:val="000000" w:themeColor="text1"/>
                <w:lang w:eastAsia="ar-SA"/>
              </w:rPr>
              <w:t xml:space="preserve"> тыс. руб., </w:t>
            </w:r>
          </w:p>
        </w:tc>
      </w:tr>
      <w:tr w:rsidR="0033162F" w:rsidRPr="0033162F" w:rsidTr="005B5ED3">
        <w:tc>
          <w:tcPr>
            <w:tcW w:w="284" w:type="pct"/>
          </w:tcPr>
          <w:p w:rsidR="00F72521" w:rsidRPr="0033162F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755" w:type="pct"/>
          </w:tcPr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 xml:space="preserve">МУП Михайловский </w:t>
            </w:r>
            <w:proofErr w:type="spellStart"/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Райкомхоз</w:t>
            </w:r>
            <w:proofErr w:type="spellEnd"/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87" w:type="pct"/>
          </w:tcPr>
          <w:p w:rsidR="00F72521" w:rsidRPr="0033162F" w:rsidRDefault="00F91129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140</w:t>
            </w:r>
            <w:r w:rsidR="00F72521"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8" w:type="pct"/>
          </w:tcPr>
          <w:p w:rsidR="00F72521" w:rsidRPr="0033162F" w:rsidRDefault="00F91129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21,0</w:t>
            </w:r>
          </w:p>
        </w:tc>
        <w:tc>
          <w:tcPr>
            <w:tcW w:w="987" w:type="pct"/>
          </w:tcPr>
          <w:p w:rsidR="00F72521" w:rsidRPr="0033162F" w:rsidRDefault="00D0124A" w:rsidP="00335FF2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пл. пор.№ 1117 от 20.09</w:t>
            </w:r>
            <w:r w:rsidR="00335FF2" w:rsidRPr="0033162F">
              <w:rPr>
                <w:rFonts w:eastAsia="Calibri" w:cs="Calibri"/>
                <w:color w:val="000000" w:themeColor="text1"/>
                <w:lang w:eastAsia="ar-SA"/>
              </w:rPr>
              <w:t>.2018 на сумму 21</w:t>
            </w:r>
            <w:r w:rsidR="00511483" w:rsidRPr="0033162F">
              <w:rPr>
                <w:rFonts w:eastAsia="Calibri" w:cs="Calibri"/>
                <w:color w:val="000000" w:themeColor="text1"/>
                <w:lang w:eastAsia="ar-SA"/>
              </w:rPr>
              <w:t>,</w:t>
            </w:r>
            <w:r w:rsidR="00335FF2" w:rsidRPr="0033162F">
              <w:rPr>
                <w:rFonts w:eastAsia="Calibri" w:cs="Calibri"/>
                <w:color w:val="000000" w:themeColor="text1"/>
                <w:lang w:eastAsia="ar-SA"/>
              </w:rPr>
              <w:t>0</w:t>
            </w:r>
            <w:r w:rsidR="00F72521" w:rsidRPr="0033162F">
              <w:rPr>
                <w:rFonts w:eastAsia="Calibri" w:cs="Calibri"/>
                <w:color w:val="000000" w:themeColor="text1"/>
                <w:lang w:eastAsia="ar-SA"/>
              </w:rPr>
              <w:t xml:space="preserve"> тыс. руб.</w:t>
            </w:r>
          </w:p>
        </w:tc>
      </w:tr>
      <w:tr w:rsidR="0033162F" w:rsidRPr="0033162F" w:rsidTr="005B5ED3">
        <w:tc>
          <w:tcPr>
            <w:tcW w:w="284" w:type="pct"/>
          </w:tcPr>
          <w:p w:rsidR="00F72521" w:rsidRPr="0033162F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F72521"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55" w:type="pct"/>
          </w:tcPr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МУП «Весна»</w:t>
            </w:r>
          </w:p>
        </w:tc>
        <w:tc>
          <w:tcPr>
            <w:tcW w:w="987" w:type="pct"/>
          </w:tcPr>
          <w:p w:rsidR="00F72521" w:rsidRPr="0033162F" w:rsidRDefault="006B6A37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68</w:t>
            </w:r>
            <w:r w:rsidR="00F72521"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8" w:type="pct"/>
          </w:tcPr>
          <w:p w:rsidR="00F72521" w:rsidRPr="0033162F" w:rsidRDefault="006B6A37" w:rsidP="006B6A37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E57055"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,</w:t>
            </w: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7" w:type="pct"/>
          </w:tcPr>
          <w:p w:rsidR="00F72521" w:rsidRPr="0033162F" w:rsidRDefault="00335FF2" w:rsidP="00335FF2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пл. пор. № 3</w:t>
            </w:r>
            <w:r w:rsidR="00FC41DE" w:rsidRPr="0033162F">
              <w:rPr>
                <w:rFonts w:eastAsia="Calibri" w:cs="Calibri"/>
                <w:color w:val="000000" w:themeColor="text1"/>
                <w:lang w:eastAsia="ar-SA"/>
              </w:rPr>
              <w:t xml:space="preserve">7 от </w:t>
            </w:r>
            <w:r w:rsidRPr="0033162F">
              <w:rPr>
                <w:rFonts w:eastAsia="Calibri" w:cs="Calibri"/>
                <w:color w:val="000000" w:themeColor="text1"/>
                <w:lang w:eastAsia="ar-SA"/>
              </w:rPr>
              <w:t>23</w:t>
            </w:r>
            <w:r w:rsidR="00F72521" w:rsidRPr="0033162F">
              <w:rPr>
                <w:rFonts w:eastAsia="Calibri" w:cs="Calibri"/>
                <w:color w:val="000000" w:themeColor="text1"/>
                <w:lang w:eastAsia="ar-SA"/>
              </w:rPr>
              <w:t>.07.201</w:t>
            </w:r>
            <w:r w:rsidRPr="0033162F">
              <w:rPr>
                <w:rFonts w:eastAsia="Calibri" w:cs="Calibri"/>
                <w:color w:val="000000" w:themeColor="text1"/>
                <w:lang w:eastAsia="ar-SA"/>
              </w:rPr>
              <w:t>8  на сумму 10,2</w:t>
            </w:r>
            <w:r w:rsidR="00F72521" w:rsidRPr="0033162F">
              <w:rPr>
                <w:rFonts w:eastAsia="Calibri" w:cs="Calibri"/>
                <w:color w:val="000000" w:themeColor="text1"/>
                <w:lang w:eastAsia="ar-SA"/>
              </w:rPr>
              <w:t xml:space="preserve"> тыс. руб.</w:t>
            </w:r>
          </w:p>
        </w:tc>
      </w:tr>
      <w:tr w:rsidR="0033162F" w:rsidRPr="0033162F" w:rsidTr="005B5ED3">
        <w:tc>
          <w:tcPr>
            <w:tcW w:w="284" w:type="pct"/>
          </w:tcPr>
          <w:p w:rsidR="00E57055" w:rsidRPr="0033162F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755" w:type="pct"/>
          </w:tcPr>
          <w:p w:rsidR="00E57055" w:rsidRPr="0033162F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МУП «МВКХ»</w:t>
            </w:r>
          </w:p>
        </w:tc>
        <w:tc>
          <w:tcPr>
            <w:tcW w:w="987" w:type="pct"/>
          </w:tcPr>
          <w:p w:rsidR="00E57055" w:rsidRPr="0033162F" w:rsidRDefault="00D0124A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-22296</w:t>
            </w:r>
            <w:r w:rsidR="00E57055"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8" w:type="pct"/>
          </w:tcPr>
          <w:p w:rsidR="00E57055" w:rsidRPr="0033162F" w:rsidRDefault="00D0124A" w:rsidP="00D0124A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-</w:t>
            </w:r>
            <w:r w:rsidR="00E57055"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7" w:type="pct"/>
          </w:tcPr>
          <w:p w:rsidR="00E57055" w:rsidRPr="0033162F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lang w:eastAsia="ar-SA"/>
              </w:rPr>
            </w:pPr>
          </w:p>
        </w:tc>
      </w:tr>
      <w:tr w:rsidR="0033162F" w:rsidRPr="0033162F" w:rsidTr="005B5ED3">
        <w:tc>
          <w:tcPr>
            <w:tcW w:w="284" w:type="pct"/>
          </w:tcPr>
          <w:p w:rsidR="00E57055" w:rsidRPr="0033162F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755" w:type="pct"/>
          </w:tcPr>
          <w:p w:rsidR="00E57055" w:rsidRPr="0033162F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МУП «Диана»</w:t>
            </w:r>
          </w:p>
        </w:tc>
        <w:tc>
          <w:tcPr>
            <w:tcW w:w="987" w:type="pct"/>
          </w:tcPr>
          <w:p w:rsidR="00E57055" w:rsidRPr="0033162F" w:rsidRDefault="00D0124A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в стадии ликвидации</w:t>
            </w:r>
          </w:p>
        </w:tc>
        <w:tc>
          <w:tcPr>
            <w:tcW w:w="988" w:type="pct"/>
          </w:tcPr>
          <w:p w:rsidR="00E57055" w:rsidRPr="0033162F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7" w:type="pct"/>
          </w:tcPr>
          <w:p w:rsidR="00E57055" w:rsidRPr="0033162F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lang w:eastAsia="ar-SA"/>
              </w:rPr>
            </w:pPr>
          </w:p>
        </w:tc>
      </w:tr>
      <w:tr w:rsidR="0033162F" w:rsidRPr="0033162F" w:rsidTr="005B5ED3">
        <w:tc>
          <w:tcPr>
            <w:tcW w:w="284" w:type="pct"/>
          </w:tcPr>
          <w:p w:rsidR="00E57055" w:rsidRPr="0033162F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755" w:type="pct"/>
          </w:tcPr>
          <w:p w:rsidR="00E57055" w:rsidRPr="0033162F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МУП «Рыба»</w:t>
            </w:r>
          </w:p>
        </w:tc>
        <w:tc>
          <w:tcPr>
            <w:tcW w:w="987" w:type="pct"/>
          </w:tcPr>
          <w:p w:rsidR="00E57055" w:rsidRPr="0033162F" w:rsidRDefault="00D0124A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в стадии ликвидации</w:t>
            </w:r>
          </w:p>
        </w:tc>
        <w:tc>
          <w:tcPr>
            <w:tcW w:w="988" w:type="pct"/>
          </w:tcPr>
          <w:p w:rsidR="00E57055" w:rsidRPr="0033162F" w:rsidRDefault="00511483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7" w:type="pct"/>
          </w:tcPr>
          <w:p w:rsidR="00E57055" w:rsidRPr="0033162F" w:rsidRDefault="00E57055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lang w:eastAsia="ar-SA"/>
              </w:rPr>
            </w:pPr>
          </w:p>
        </w:tc>
      </w:tr>
      <w:tr w:rsidR="0033162F" w:rsidRPr="0033162F" w:rsidTr="005B5ED3">
        <w:tc>
          <w:tcPr>
            <w:tcW w:w="284" w:type="pct"/>
          </w:tcPr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55" w:type="pct"/>
          </w:tcPr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87" w:type="pct"/>
          </w:tcPr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88" w:type="pct"/>
          </w:tcPr>
          <w:p w:rsidR="00F72521" w:rsidRPr="0033162F" w:rsidRDefault="00D0124A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1715,25</w:t>
            </w:r>
          </w:p>
        </w:tc>
        <w:tc>
          <w:tcPr>
            <w:tcW w:w="987" w:type="pct"/>
          </w:tcPr>
          <w:p w:rsidR="00F72521" w:rsidRPr="0033162F" w:rsidRDefault="00F72521" w:rsidP="00F72521">
            <w:pPr>
              <w:tabs>
                <w:tab w:val="left" w:pos="615"/>
              </w:tabs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5B5ED3" w:rsidRPr="0033162F" w:rsidRDefault="005B5ED3" w:rsidP="005B5ED3">
      <w:pPr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u w:val="single"/>
          <w:lang w:eastAsia="ar-SA"/>
        </w:rPr>
        <w:t xml:space="preserve">        Доходы от перечисления </w:t>
      </w:r>
      <w:proofErr w:type="gramStart"/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u w:val="single"/>
          <w:lang w:eastAsia="ar-SA"/>
        </w:rPr>
        <w:t xml:space="preserve">части прибыли, остающейся после уплаты налогов  </w:t>
      </w:r>
      <w:r w:rsidR="00E3558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за 2017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</w:t>
      </w:r>
      <w:r w:rsidR="00E3558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д составили</w:t>
      </w:r>
      <w:proofErr w:type="gramEnd"/>
      <w:r w:rsidR="00E3558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1715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,2</w:t>
      </w:r>
      <w:r w:rsidR="00E3558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5 тыс. руб., что составляет 1,7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 от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общей суммы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ar-SA"/>
        </w:rPr>
        <w:t xml:space="preserve">доходов от использования имущества, находящегося в государственной и муниципальной собственности.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</w:p>
    <w:p w:rsidR="00F72521" w:rsidRPr="0033162F" w:rsidRDefault="00F72521" w:rsidP="00F72521">
      <w:pPr>
        <w:tabs>
          <w:tab w:val="left" w:pos="615"/>
        </w:tabs>
        <w:autoSpaceDE w:val="0"/>
        <w:spacing w:after="0" w:line="100" w:lineRule="atLeast"/>
        <w:ind w:firstLine="360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i/>
          <w:color w:val="000000" w:themeColor="text1"/>
          <w:sz w:val="24"/>
          <w:szCs w:val="24"/>
          <w:lang w:eastAsia="ar-SA"/>
        </w:rPr>
        <w:t xml:space="preserve">       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Выполнение поступлений по отношению к ут</w:t>
      </w:r>
      <w:r w:rsidR="00C04FD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вержденному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плану  составля</w:t>
      </w:r>
      <w:r w:rsidR="006E115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ет 100,0 %, пре</w:t>
      </w:r>
      <w:r w:rsidR="00E3558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дыдущему году 85,6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%. </w:t>
      </w:r>
    </w:p>
    <w:p w:rsidR="00C46523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</w:t>
      </w:r>
      <w:r w:rsidR="009B072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3.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u w:val="single"/>
          <w:lang w:eastAsia="ar-SA"/>
        </w:rPr>
        <w:t>Прочие доходы от использования имущества и прав, находящихся в муниципальной собственности</w:t>
      </w:r>
      <w:r w:rsidR="001C793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  составляют    3425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1C793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 тыс. руб., или 3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1C793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3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 от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общей суммы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ar-SA"/>
        </w:rPr>
        <w:t xml:space="preserve">доходов от использования имущества, находящегося в государственной и муниципальной собственности. </w:t>
      </w:r>
      <w:proofErr w:type="gramStart"/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Отклонение от  ут</w:t>
      </w:r>
      <w:r w:rsidR="00C04FD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вержденных</w:t>
      </w:r>
      <w:r w:rsidR="00C57D8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плановых показателей  </w:t>
      </w:r>
      <w:r w:rsidR="001C793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283,0 тыс. руб., или 9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C4652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0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%, </w:t>
      </w:r>
      <w:r w:rsidR="00C57D8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от первоначального плана на 201</w:t>
      </w:r>
      <w:r w:rsidR="001C793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="00B513A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 </w:t>
      </w:r>
      <w:r w:rsidR="007231A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925</w:t>
      </w:r>
      <w:r w:rsidR="001C793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7231A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 или </w:t>
      </w:r>
      <w:r w:rsidR="007231A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37</w:t>
      </w:r>
      <w:r w:rsidR="001C793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7231A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0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%.</w:t>
      </w:r>
      <w:r w:rsidR="007231A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Объясняется тем, что в первоначальном плане поступлений </w:t>
      </w:r>
      <w:r w:rsidR="00C57D8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на очередной финансовый год </w:t>
      </w:r>
      <w:r w:rsidR="007231A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плата за право на размещение нестационар</w:t>
      </w:r>
      <w:r w:rsidR="00B8344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ного торгового объекта и</w:t>
      </w:r>
      <w:r w:rsidR="00B513A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плата </w:t>
      </w:r>
      <w:r w:rsidR="007231A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за право проведения ярмарки не </w:t>
      </w:r>
      <w:r w:rsidR="0064652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предусматривалась</w:t>
      </w:r>
      <w:r w:rsidR="00B513A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(</w:t>
      </w:r>
      <w:r w:rsidR="00B8344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в очередном году </w:t>
      </w:r>
      <w:r w:rsidR="001E19F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заключены договоры</w:t>
      </w:r>
      <w:r w:rsidR="00B513A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на размещение нестационарных торговых объектов на платной</w:t>
      </w:r>
      <w:proofErr w:type="gramEnd"/>
      <w:r w:rsidR="00B513A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основе)</w:t>
      </w:r>
      <w:r w:rsidR="0064652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</w:t>
      </w:r>
    </w:p>
    <w:p w:rsidR="00A20BEC" w:rsidRPr="0033162F" w:rsidRDefault="00F72521" w:rsidP="00D7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u w:val="single"/>
          <w:lang w:eastAsia="ar-SA"/>
        </w:rPr>
        <w:t>Доходы от  продажи материальных и нематериальных активов</w:t>
      </w:r>
      <w:r w:rsidR="00E2382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 а именно</w:t>
      </w:r>
      <w:r w:rsidR="00A4084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E2382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ф</w:t>
      </w:r>
      <w:r w:rsidR="00A20BE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актические поступления по дохода</w:t>
      </w:r>
      <w:r w:rsidR="00C57D8A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м от реализации имущ</w:t>
      </w:r>
      <w:r w:rsidR="004B18D6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ества в 2018 году составили 1079</w:t>
      </w:r>
      <w:r w:rsidR="00C57D8A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A20BE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</w:t>
      </w:r>
      <w:r w:rsidR="00C57D8A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(100,4</w:t>
      </w:r>
      <w:r w:rsidR="00A20BE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 от плана с учето</w:t>
      </w:r>
      <w:r w:rsidR="00C57D8A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м всех внесенных изменений (10750</w:t>
      </w:r>
      <w:r w:rsidR="00E23825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,0 тыс. руб.).</w:t>
      </w:r>
      <w:r w:rsidR="00D73E2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C57D8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К уровню 2017</w:t>
      </w:r>
      <w:r w:rsidR="00A4084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года общая сумма поступлений у</w:t>
      </w:r>
      <w:r w:rsidR="001E19F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величилась на 43,2</w:t>
      </w:r>
      <w:r w:rsidR="00A4084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</w:t>
      </w:r>
      <w:r w:rsidR="00C1306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</w:t>
      </w:r>
      <w:r w:rsidR="00D73E2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В общей сумме </w:t>
      </w:r>
      <w:r w:rsidR="00B37FF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неналоговых </w:t>
      </w:r>
      <w:r w:rsidR="00740911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доходов</w:t>
      </w:r>
      <w:r w:rsidR="00B37FFB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40911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E23825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доходы от реализации имущества составляют</w:t>
      </w:r>
      <w:r w:rsidR="00740911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9F6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7,9</w:t>
      </w:r>
      <w:r w:rsidR="00E23825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7D15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%,</w:t>
      </w:r>
      <w:r w:rsidR="00A4084D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E22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7D15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из них</w:t>
      </w:r>
      <w:r w:rsidR="00A20BE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F5700" w:rsidRPr="0033162F" w:rsidRDefault="001E19F6" w:rsidP="002F5700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- 6</w:t>
      </w:r>
      <w:r w:rsidR="00A7169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626,3</w:t>
      </w:r>
      <w:r w:rsidR="00A20BE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6C59E3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BE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 </w:t>
      </w:r>
      <w:r w:rsidR="00057D15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от продажи земельных участков </w:t>
      </w:r>
      <w:r w:rsidR="00740911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7169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A7D0A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169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20BE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057D15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составе </w:t>
      </w:r>
      <w:r w:rsidR="00B1553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неналоговых </w:t>
      </w:r>
      <w:r w:rsidR="001F354B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="00C1306D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20BE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56D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Отклонение от  ут</w:t>
      </w:r>
      <w:r w:rsidR="00451B6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вержденных</w:t>
      </w:r>
      <w:r w:rsidR="00CC56D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плановых показателей  (</w:t>
      </w:r>
      <w:r w:rsidR="005F072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+</w:t>
      </w:r>
      <w:r w:rsidR="00072DE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40</w:t>
      </w:r>
      <w:r w:rsidR="00CC56D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072DE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0</w:t>
      </w:r>
      <w:r w:rsidR="00CC56D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) тыс. руб., или (</w:t>
      </w:r>
      <w:r w:rsidR="005F072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+</w:t>
      </w:r>
      <w:r w:rsidR="00072DE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0,4</w:t>
      </w:r>
      <w:r w:rsidR="00CC56D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%), </w:t>
      </w:r>
      <w:r w:rsidR="00072DE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от первоначального плана на 2018</w:t>
      </w:r>
      <w:r w:rsidR="00CC56D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 (</w:t>
      </w:r>
      <w:r w:rsidR="005F072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+</w:t>
      </w:r>
      <w:r w:rsidR="00AA08D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2126,3</w:t>
      </w:r>
      <w:r w:rsidR="00CC56D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) тыс. руб. или (</w:t>
      </w:r>
      <w:r w:rsidR="005F072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+</w:t>
      </w:r>
      <w:r w:rsidR="00AA08D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47</w:t>
      </w:r>
      <w:r w:rsidR="00072DE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AA08D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</w:t>
      </w:r>
      <w:r w:rsidR="002F570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) %</w:t>
      </w:r>
      <w:r w:rsidR="00AA08D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, что свидетельствует о </w:t>
      </w:r>
      <w:r w:rsidR="00177FB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слабом</w:t>
      </w:r>
      <w:r w:rsidR="00E9237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прогн</w:t>
      </w:r>
      <w:r w:rsidR="00177FB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озировании суммы </w:t>
      </w:r>
      <w:r w:rsidR="00E9237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доходов</w:t>
      </w:r>
      <w:r w:rsidR="002F570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;</w:t>
      </w:r>
    </w:p>
    <w:p w:rsidR="0032163D" w:rsidRPr="0033162F" w:rsidRDefault="0032163D" w:rsidP="002F5700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-137,3 тыс. руб.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</w:t>
      </w:r>
      <w:r w:rsidR="00D8771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на которые не разграничена;</w:t>
      </w:r>
    </w:p>
    <w:p w:rsidR="00D87710" w:rsidRPr="0033162F" w:rsidRDefault="00D87710" w:rsidP="002F5700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-270,6 тыс. руб. доходы от продажи муниципального имущества по прогнозному плану приватизации по результатам торгов. Отклонение от  первоначального плана на 2018 год (-729,4) тыс. руб. или (-72,3) %</w:t>
      </w:r>
      <w:r w:rsidR="00F41B3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</w:t>
      </w:r>
    </w:p>
    <w:p w:rsidR="005F0729" w:rsidRPr="0033162F" w:rsidRDefault="002F5700" w:rsidP="005F0729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-</w:t>
      </w:r>
      <w:r w:rsidR="00A20BE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3D3A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3755</w:t>
      </w:r>
      <w:r w:rsidR="00A20BE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A3D3A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20BE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  <w:r w:rsidR="00740911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A3D3A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2,8</w:t>
      </w:r>
      <w:r w:rsidR="00A20BE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C8456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составе</w:t>
      </w:r>
      <w:r w:rsidR="007C2494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неналоговых</w:t>
      </w:r>
      <w:r w:rsidR="00C8456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</w:t>
      </w:r>
      <w:r w:rsidR="00A20BE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рамках реализации Федерального закона от </w:t>
      </w:r>
      <w:smartTag w:uri="urn:schemas-microsoft-com:office:smarttags" w:element="date">
        <w:smartTagPr>
          <w:attr w:name="Year" w:val="2008"/>
          <w:attr w:name="Day" w:val="22"/>
          <w:attr w:name="Month" w:val="07"/>
          <w:attr w:name="ls" w:val="trans"/>
        </w:smartTagPr>
        <w:r w:rsidR="00A20BEC" w:rsidRPr="0033162F">
          <w:rPr>
            <w:rFonts w:ascii="Times New Roman" w:hAnsi="Times New Roman" w:cs="Times New Roman"/>
            <w:color w:val="000000" w:themeColor="text1"/>
            <w:sz w:val="24"/>
            <w:szCs w:val="24"/>
          </w:rPr>
          <w:t>22.07.2008</w:t>
        </w:r>
      </w:smartTag>
      <w:r w:rsidR="00A20BE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</w:t>
      </w:r>
      <w:r w:rsidR="005F072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Федерации или в муниципальной </w:t>
      </w:r>
      <w:r w:rsidR="00A20BE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FD1D8A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F072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="005F072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Отклонение </w:t>
      </w:r>
      <w:r w:rsidR="006A3D3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от первоначального плана</w:t>
      </w:r>
      <w:r w:rsidR="00FD1D8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6A3D3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6A3D3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lastRenderedPageBreak/>
        <w:t>на 2018</w:t>
      </w:r>
      <w:r w:rsidR="00FE35F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</w:t>
      </w:r>
      <w:r w:rsidR="00FD1D8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, </w:t>
      </w:r>
      <w:r w:rsidR="00FE35F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составило </w:t>
      </w:r>
      <w:r w:rsidR="006A3D3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1255,8 тыс. руб. или (+50,2</w:t>
      </w:r>
      <w:r w:rsidR="005F072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) %</w:t>
      </w:r>
      <w:r w:rsidR="006A3D3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, </w:t>
      </w:r>
      <w:r w:rsidR="00584EF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что </w:t>
      </w:r>
      <w:r w:rsidR="00B34A0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объясняется </w:t>
      </w:r>
      <w:r w:rsidR="006A3D3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внесением </w:t>
      </w:r>
      <w:r w:rsidR="00FE35F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платы</w:t>
      </w:r>
      <w:r w:rsidR="006A3D3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по договорам купли-продажи муниципального</w:t>
      </w:r>
      <w:r w:rsidR="00FE35F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имущества</w:t>
      </w:r>
      <w:r w:rsidR="0096078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с субъектами малого и среднего предпринимательства,  ранее установленного срока</w:t>
      </w:r>
      <w:r w:rsidR="00FE35F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, (+448,3 тыс. руб.) </w:t>
      </w:r>
      <w:r w:rsidR="006A3D3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и поступлением суммы от продажи муниципального объекта </w:t>
      </w:r>
      <w:r w:rsidR="00FE35F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в 2017 году с</w:t>
      </w:r>
      <w:r w:rsidR="00B34A0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временного счета администрации</w:t>
      </w:r>
      <w:r w:rsidR="00FE35F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на код дохода </w:t>
      </w:r>
      <w:r w:rsidR="00177FB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в соответствии с бюджетной классификацией</w:t>
      </w:r>
      <w:r w:rsidR="0096078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(+807,3 тыс. руб.)</w:t>
      </w:r>
      <w:r w:rsidR="005F072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;</w:t>
      </w:r>
      <w:proofErr w:type="gramEnd"/>
    </w:p>
    <w:p w:rsidR="00AE42A1" w:rsidRPr="0033162F" w:rsidRDefault="0052437B" w:rsidP="00B2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E32E31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показала: и</w:t>
      </w:r>
      <w:r w:rsidR="00AE42A1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 w:rsidR="005747C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75B54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E42A1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нежилых объектов, включ</w:t>
      </w:r>
      <w:r w:rsidR="005747C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енных в План приватизации в 2018</w:t>
      </w:r>
      <w:r w:rsidR="00AE42A1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году:</w:t>
      </w:r>
    </w:p>
    <w:p w:rsidR="00AE42A1" w:rsidRPr="0033162F" w:rsidRDefault="00AE42A1" w:rsidP="00B2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55BD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приватизировано 2</w:t>
      </w:r>
      <w:r w:rsidR="003C53A8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(14,3</w:t>
      </w:r>
      <w:r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общей площадью </w:t>
      </w:r>
      <w:r w:rsidR="007C55BD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316,7</w:t>
      </w:r>
      <w:r w:rsidR="003F2BAB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м.,</w:t>
      </w:r>
      <w:r w:rsidR="003C53A8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2</w:t>
      </w:r>
      <w:r w:rsidR="0061774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3A8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здания (общей площадью 316,7</w:t>
      </w:r>
      <w:r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</w:t>
      </w:r>
      <w:r w:rsidR="00870394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451B0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Объекты реализованы посредством публичного предложения. </w:t>
      </w:r>
      <w:proofErr w:type="gramStart"/>
      <w:r w:rsidR="00B451B0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Сумма</w:t>
      </w:r>
      <w:proofErr w:type="gramEnd"/>
      <w:r w:rsidR="00B451B0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поступившая в бюджет от приватизации 221100,0 руб.</w:t>
      </w:r>
      <w:r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73E22" w:rsidRPr="0033162F" w:rsidRDefault="00AE42A1" w:rsidP="00B24A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приватизировано </w:t>
      </w:r>
      <w:r w:rsidR="0061774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75B54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1B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(85,7</w:t>
      </w:r>
      <w:r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общей площадью </w:t>
      </w:r>
      <w:r w:rsidR="00175B54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7520</w:t>
      </w:r>
      <w:r w:rsidR="00F71AE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5B54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71AE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м, в том числе </w:t>
      </w:r>
      <w:r w:rsidR="00175B54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71AE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зданий </w:t>
      </w:r>
      <w:r w:rsidR="00175B54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2 имущественных комплекса </w:t>
      </w:r>
      <w:r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(общей площадью </w:t>
      </w:r>
      <w:r w:rsidR="00175B54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7520,2</w:t>
      </w:r>
      <w:r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</w:t>
      </w:r>
      <w:r w:rsidR="0057611D" w:rsidRPr="0033162F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  <w:r w:rsidR="00BD375B" w:rsidRPr="0033162F">
        <w:rPr>
          <w:rFonts w:ascii="TimesNewRomanPSMT" w:hAnsi="TimesNewRomanPSMT" w:cs="TimesNewRomanPSMT"/>
          <w:color w:val="000000" w:themeColor="text1"/>
          <w:sz w:val="24"/>
          <w:szCs w:val="24"/>
        </w:rPr>
        <w:t>)</w:t>
      </w:r>
      <w:r w:rsidR="00175B54" w:rsidRPr="0033162F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:rsidR="00175B54" w:rsidRPr="0033162F" w:rsidRDefault="00175B54" w:rsidP="00B2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62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B451B0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п</w:t>
      </w:r>
      <w:r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риватизирован автомобиль УАЗ-39629. Приватизация проведена путем проведения аукциона. Сумма</w:t>
      </w:r>
      <w:r w:rsidR="00B451B0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приватизации,</w:t>
      </w:r>
      <w:r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поступившая в бюджет составила 49467,02 руб.</w:t>
      </w:r>
    </w:p>
    <w:p w:rsidR="00870394" w:rsidRPr="0033162F" w:rsidRDefault="0057611D" w:rsidP="00B2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464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B451B0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</w:t>
      </w:r>
      <w:r w:rsidR="00B451B0" w:rsidRPr="0033162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</w:t>
      </w:r>
      <w:r w:rsidR="00B451B0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F464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ва приватизированных объекта реализованы посредством публичного предло</w:t>
      </w:r>
      <w:r w:rsidR="00175B54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жения</w:t>
      </w:r>
      <w:r w:rsidR="00B451B0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один путем проведения аукциона. </w:t>
      </w:r>
      <w:r w:rsidR="00175B54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Общая цена продажи за </w:t>
      </w:r>
      <w:r w:rsidR="00B451B0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="00175B54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составила </w:t>
      </w:r>
      <w:r w:rsidR="00F41B3A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270</w:t>
      </w:r>
      <w:r w:rsidR="00175B54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41B3A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F464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  <w:r w:rsidR="00D572A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464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бюджет городского округа</w:t>
      </w:r>
      <w:r w:rsidR="00D572A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464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177FB8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F464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D572A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41B3A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поступило 270,6</w:t>
      </w:r>
      <w:r w:rsidR="002F4649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  <w:r w:rsidR="00F41B3A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остальным</w:t>
      </w:r>
      <w:r w:rsidR="00D572A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объектам приватизации </w:t>
      </w:r>
      <w:r w:rsidR="0074148D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проводились </w:t>
      </w:r>
      <w:r w:rsidR="00D572A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аукционы и продажа посредством публичного предложения</w:t>
      </w:r>
      <w:r w:rsidR="00F928B5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, однако заявок не поступало</w:t>
      </w:r>
      <w:r w:rsidR="00D572AC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2521" w:rsidRPr="0033162F" w:rsidRDefault="0018447D" w:rsidP="00B2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proofErr w:type="gramStart"/>
      <w:r w:rsidR="00B24A96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целом анализ выполнения </w:t>
      </w:r>
      <w:r w:rsidR="00AE42A1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227625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города Миха</w:t>
      </w:r>
      <w:r w:rsidR="00F41B3A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йловки Плана приватизации в 2018</w:t>
      </w:r>
      <w:r w:rsidR="00AE42A1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и</w:t>
      </w:r>
      <w:r w:rsidR="00B24A96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2A1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поступления доходов в бюджет </w:t>
      </w:r>
      <w:r w:rsidR="00227625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AE42A1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реализации муници</w:t>
      </w:r>
      <w:r w:rsidR="00227625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пального имущества показал, что </w:t>
      </w:r>
      <w:r w:rsidR="00AE42A1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одни из глав</w:t>
      </w:r>
      <w:r w:rsidR="00227625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целей приватизации объектов </w:t>
      </w:r>
      <w:r w:rsidR="00AE42A1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2F7FBD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собственности городского округа </w:t>
      </w:r>
      <w:r w:rsidR="00AE42A1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227625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Михайловка </w:t>
      </w:r>
      <w:r w:rsidR="00AE42A1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повышение эффективности управлен</w:t>
      </w:r>
      <w:r w:rsidR="002F7FBD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муниципальной собственностью </w:t>
      </w:r>
      <w:r w:rsidR="00227625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город Михайловка</w:t>
      </w:r>
      <w:r w:rsidR="00AE42A1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мобилизация доходов в бюджет </w:t>
      </w:r>
      <w:r w:rsidR="002F7FBD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Михайловки </w:t>
      </w:r>
      <w:r w:rsidR="00AE42A1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в полном объеме не достигнуты.</w:t>
      </w:r>
      <w:r w:rsidR="00EC74E9" w:rsidRPr="0033162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proofErr w:type="gramEnd"/>
    </w:p>
    <w:p w:rsidR="00F72521" w:rsidRPr="0033162F" w:rsidRDefault="00F72521" w:rsidP="000570ED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</w:t>
      </w:r>
      <w:r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827EA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  </w:t>
      </w:r>
      <w:r w:rsidR="0018447D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ar-SA"/>
        </w:rPr>
        <w:t>Доходы от оказания платных услуг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="005D654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Фактические поступления   </w:t>
      </w:r>
      <w:r w:rsidR="00365993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вышеуказанных доходов </w:t>
      </w:r>
      <w:r w:rsidR="005D654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 201</w:t>
      </w:r>
      <w:r w:rsidR="00827FDD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8</w:t>
      </w:r>
      <w:r w:rsidR="005D654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году составили 1</w:t>
      </w:r>
      <w:r w:rsidR="00827FDD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1080</w:t>
      </w:r>
      <w:r w:rsidR="005D654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827FDD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5</w:t>
      </w:r>
      <w:r w:rsidR="005D654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тыс. руб., что выше первоначально запланированных сумм на </w:t>
      </w:r>
      <w:r w:rsidR="00365993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993</w:t>
      </w:r>
      <w:r w:rsidR="005D654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365993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5</w:t>
      </w:r>
      <w:r w:rsidR="005D654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тыс. руб. или на </w:t>
      </w:r>
      <w:r w:rsidR="00365993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9</w:t>
      </w:r>
      <w:r w:rsidR="005D654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365993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8</w:t>
      </w:r>
      <w:r w:rsidR="005D6547"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%. </w:t>
      </w:r>
    </w:p>
    <w:p w:rsidR="00365993" w:rsidRPr="0033162F" w:rsidRDefault="009827EA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Отклонение фактических поступлений от уточненных плановых показателей составляет +175,6 тыс. руб., таким образом, план по доходам от оказания платных услуг выполнен на 101,6 %. 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К уровню 2017 года общая сумма поступлений увеличилась на 125,3 тыс. руб. или на 1,1%.</w:t>
      </w:r>
      <w:r w:rsidR="00C449B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 объясняется изменением количества платных услуг, оказываемых казенными учреждениями городского округа город Михайловка.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F72521" w:rsidRPr="0033162F" w:rsidRDefault="00365993" w:rsidP="00F72521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  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Поступление в доход бюджета городского</w:t>
      </w:r>
      <w:r w:rsidR="0070600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округа город Михайловка за 201</w:t>
      </w:r>
      <w:r w:rsidR="0081180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 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u w:val="single"/>
          <w:lang w:eastAsia="ar-SA"/>
        </w:rPr>
        <w:t>платежей при пользовании природными ресурсами</w:t>
      </w:r>
      <w:r w:rsidR="0081180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составило 1981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81180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руб., или 100,</w:t>
      </w:r>
      <w:r w:rsidR="00CA435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 по отношению к уточненному плану. 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  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u w:val="single"/>
          <w:lang w:eastAsia="ar-SA"/>
        </w:rPr>
        <w:t>«Штрафы, санкции, возмещение ущерба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» в 201</w:t>
      </w:r>
      <w:r w:rsidR="00C449B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году поступили в бюджет городского округа в сумме </w:t>
      </w:r>
      <w:r w:rsidR="00C449B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9312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C449B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3 тыс. руб. или 100,5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% по отношению к уточне</w:t>
      </w:r>
      <w:r w:rsidR="00A43CE4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нному плану. По сравнению </w:t>
      </w:r>
      <w:r w:rsidR="00C449B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с 2017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годом   поступления </w:t>
      </w:r>
      <w:r w:rsidR="00C57D8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выросли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на </w:t>
      </w:r>
      <w:r w:rsidR="00C57D8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4164,0 тыс. руб. или  на 80,1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%.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</w:t>
      </w:r>
    </w:p>
    <w:p w:rsidR="00DA49A3" w:rsidRPr="0033162F" w:rsidRDefault="00F72521" w:rsidP="00DA49A3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</w:t>
      </w: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 xml:space="preserve">Предоставление льгот по  неналоговым платежам  </w:t>
      </w:r>
    </w:p>
    <w:p w:rsidR="00DA49A3" w:rsidRPr="0033162F" w:rsidRDefault="00DA49A3" w:rsidP="00DA49A3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</w:p>
    <w:p w:rsidR="00F72521" w:rsidRPr="0033162F" w:rsidRDefault="00F72521" w:rsidP="00DA49A3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x-none" w:eastAsia="ar-SA"/>
        </w:rPr>
        <w:t xml:space="preserve">  </w:t>
      </w:r>
      <w:r w:rsidRPr="0033162F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x-none" w:eastAsia="ar-SA"/>
        </w:rPr>
        <w:t xml:space="preserve">                 </w:t>
      </w:r>
      <w:r w:rsidRPr="0033162F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x-none" w:eastAsia="ar-SA"/>
        </w:rPr>
        <w:t xml:space="preserve">Категория арендаторов, имеющих льготы по арендной плате за землю, определена Порядком расчета арендной платы за земельные участки, государственная собственность на которые не разграничена и земельные участки, находящиеся в собственности Волгоградской области, </w:t>
      </w:r>
      <w:r w:rsidRPr="0033162F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ar-SA"/>
        </w:rPr>
        <w:t xml:space="preserve">предоставленные в аренду без торгов, </w:t>
      </w:r>
      <w:r w:rsidRPr="0033162F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x-none" w:eastAsia="ar-SA"/>
        </w:rPr>
        <w:lastRenderedPageBreak/>
        <w:t>утвержденного постановлением администрации Волгоградской области от 22.08.2011 № 469-п (ред. от 28.07.2014).</w:t>
      </w:r>
    </w:p>
    <w:p w:rsidR="00F72521" w:rsidRPr="0033162F" w:rsidRDefault="00F72521" w:rsidP="00F72521">
      <w:pPr>
        <w:keepNext/>
        <w:spacing w:before="240" w:after="60"/>
        <w:jc w:val="both"/>
        <w:outlineLvl w:val="0"/>
        <w:rPr>
          <w:rFonts w:ascii="Arial" w:eastAsia="Times New Roman" w:hAnsi="Arial" w:cs="Arial"/>
          <w:bCs/>
          <w:i/>
          <w:color w:val="000000" w:themeColor="text1"/>
          <w:kern w:val="32"/>
          <w:sz w:val="24"/>
          <w:szCs w:val="24"/>
          <w:lang w:val="x-none" w:eastAsia="ru-RU"/>
        </w:rPr>
      </w:pPr>
      <w:r w:rsidRPr="0033162F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ar-SA"/>
        </w:rPr>
        <w:t xml:space="preserve">                   Значения </w:t>
      </w:r>
      <w:r w:rsidR="006C59E3" w:rsidRPr="0033162F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x-none" w:eastAsia="ar-SA"/>
        </w:rPr>
        <w:t>льгот</w:t>
      </w:r>
      <w:r w:rsidRPr="0033162F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ar-SA"/>
        </w:rPr>
        <w:t xml:space="preserve"> утверждены решением Михайловской городской Думы от 05.05.2008 г. № 322 «Об утверждении значений коэффициентов к Порядку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области». </w:t>
      </w:r>
      <w:r w:rsidRPr="0033162F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x-none" w:eastAsia="ar-SA"/>
        </w:rPr>
        <w:t xml:space="preserve"> Сумма выпадающих доходов в 201</w:t>
      </w:r>
      <w:r w:rsidR="00F41B3A" w:rsidRPr="0033162F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ar-SA"/>
        </w:rPr>
        <w:t>8</w:t>
      </w:r>
      <w:r w:rsidRPr="0033162F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x-none" w:eastAsia="ar-SA"/>
        </w:rPr>
        <w:t xml:space="preserve"> году составила  </w:t>
      </w:r>
      <w:r w:rsidR="009200A2" w:rsidRPr="0033162F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ar-SA"/>
        </w:rPr>
        <w:t>5315</w:t>
      </w:r>
      <w:r w:rsidRPr="0033162F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x-none" w:eastAsia="ar-SA"/>
        </w:rPr>
        <w:t>,</w:t>
      </w:r>
      <w:r w:rsidR="009200A2" w:rsidRPr="0033162F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ar-SA"/>
        </w:rPr>
        <w:t>6</w:t>
      </w:r>
      <w:r w:rsidRPr="0033162F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x-none" w:eastAsia="ar-SA"/>
        </w:rPr>
        <w:t xml:space="preserve"> тыс. руб.</w:t>
      </w:r>
      <w:r w:rsidRPr="0033162F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4"/>
          <w:szCs w:val="24"/>
          <w:lang w:eastAsia="ar-SA"/>
        </w:rPr>
        <w:t>.</w:t>
      </w:r>
      <w:r w:rsidRPr="0033162F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4"/>
          <w:szCs w:val="24"/>
          <w:lang w:val="x-none" w:eastAsia="ar-SA"/>
        </w:rPr>
        <w:t xml:space="preserve"> 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>Безвозмездные поступления.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  Безвозмездные поступления предусматривались первоначально в размере </w:t>
      </w:r>
      <w:r w:rsidR="00E81369" w:rsidRPr="0033162F">
        <w:rPr>
          <w:rFonts w:ascii="Times New Roman" w:hAnsi="Times New Roman"/>
          <w:color w:val="000000" w:themeColor="text1"/>
          <w:sz w:val="24"/>
          <w:szCs w:val="24"/>
        </w:rPr>
        <w:t>604859</w:t>
      </w:r>
      <w:r w:rsidR="00A302D0" w:rsidRPr="0033162F">
        <w:rPr>
          <w:rFonts w:ascii="Times New Roman" w:hAnsi="Times New Roman"/>
          <w:color w:val="000000" w:themeColor="text1"/>
          <w:sz w:val="24"/>
          <w:szCs w:val="24"/>
        </w:rPr>
        <w:t>,4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рублей. </w:t>
      </w:r>
      <w:proofErr w:type="gramStart"/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С учетом поправок, б</w:t>
      </w:r>
      <w:r w:rsidR="00A302D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езвозмездные поступления на 201</w:t>
      </w:r>
      <w:r w:rsidR="00E8136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="00A302D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</w:t>
      </w:r>
      <w:r w:rsidR="00E8136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д утверждены в сумме  847649,3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 Уточненный план по доходам превышает утвержденный объем доходов по решению по бе</w:t>
      </w:r>
      <w:r w:rsidR="006F4E07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звозмездным учреждениям на </w:t>
      </w:r>
      <w:r w:rsidR="00B313A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11458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B313A0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 Изменения в сводную роспись внесены в соответствии со ст. 217 Бюджетного Кодекса Российской Федерации без внесения изменений в решение о бюджете.</w:t>
      </w:r>
      <w:proofErr w:type="gramEnd"/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Фактиче</w:t>
      </w:r>
      <w:r w:rsidR="00106A1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ское исполнение составило </w:t>
      </w:r>
      <w:r w:rsidR="004B6A5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846480,1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</w:t>
      </w:r>
      <w:r w:rsidR="004B6A5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 или 99</w:t>
      </w:r>
      <w:r w:rsidR="00C965C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,9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% к уточненному плану. </w:t>
      </w:r>
      <w:r w:rsidR="004B6A5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В 2018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году безвозмездные поступления получены в виде субвенций, субсидий, дотации на поддержку мер по обеспечению сбалансированности местных бюджетов, в том числе: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- субсидии бюджетам бюджетной системы Российской Федера</w:t>
      </w:r>
      <w:r w:rsidR="00C965C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ции (межбюджетные субсидии </w:t>
      </w:r>
      <w:r w:rsidR="0083716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138748,5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руб., бюджетные н</w:t>
      </w:r>
      <w:r w:rsidR="0083716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азначения исполнены на 98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83716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%); 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-   субвенции бюджетам субъектов РФ и муниципальных образований составили 6</w:t>
      </w:r>
      <w:r w:rsidR="0083716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88943,5</w:t>
      </w:r>
      <w:r w:rsidR="00C965CC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руб., что составляет </w:t>
      </w:r>
      <w:r w:rsidR="0083716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98,0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% к уточненным плановым показателям;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- иные межбюджетные трансферты </w:t>
      </w:r>
      <w:r w:rsidR="000637A4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237,1</w:t>
      </w:r>
      <w:r w:rsidR="00DC091F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руб., что составляет </w:t>
      </w:r>
      <w:r w:rsidR="000637A4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88</w:t>
      </w:r>
      <w:r w:rsidR="00DC091F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0637A4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4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% к уточненному плану; 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-  дотации бюджетам на поддержку мер по обеспечению сб</w:t>
      </w:r>
      <w:r w:rsidR="004B6A5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алансированности бюджетов  16761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4B6A5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0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руб., </w:t>
      </w:r>
      <w:r w:rsidR="0083716B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что в 9,5 раз превышает уточненные плановые показатели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;</w:t>
      </w:r>
    </w:p>
    <w:p w:rsidR="0083716B" w:rsidRPr="0033162F" w:rsidRDefault="0083716B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-прочие дотации 1750,0 тыс. руб., бюджетные назначения исполнены на 100,0 %;</w:t>
      </w:r>
    </w:p>
    <w:p w:rsidR="00F72521" w:rsidRPr="0033162F" w:rsidRDefault="000637A4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- 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безвозмездные поступления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от негосударственных организаций 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(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безвозмездные поступления от негосударственных организаций) 188</w:t>
      </w:r>
      <w:r w:rsidR="00DC091F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,0 тыс. руб.</w:t>
      </w:r>
      <w:r w:rsidR="00474B6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(поступления не планировались)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;</w:t>
      </w:r>
    </w:p>
    <w:p w:rsidR="00DC091F" w:rsidRPr="0033162F" w:rsidRDefault="00DC091F" w:rsidP="00DC091F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-  прочие безвозмездные поступлен</w:t>
      </w:r>
      <w:r w:rsidR="00474B6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ия в бюджеты городских округов 169,5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="00474B6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бюджетные назначения исполнены на 100,0 %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;</w:t>
      </w:r>
    </w:p>
    <w:p w:rsidR="00F72521" w:rsidRPr="0033162F" w:rsidRDefault="00DC091F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- 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доходы бюджетов бюджетной системы от возврата бюджетами остатков субсидий, субвенций и иных трансфертов, имеющих целевое назначение, прошлых лет </w:t>
      </w:r>
      <w:r w:rsidR="00474B6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3,9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F7252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тыс. руб.;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-   возврат остатков субсидий, субвенций и иных межбюджетных трансфертов, имеющих цел</w:t>
      </w:r>
      <w:r w:rsidR="00474B6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евое назначение, прошлых лет (-321,4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) тыс. руб.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 xml:space="preserve">         Дефицит бюджета, источники его покрытия, состояние муниципального долга.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Решением Михайловской городской Думы «О б</w:t>
      </w:r>
      <w:r w:rsidR="00833DB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юджете городского округа на 201</w:t>
      </w:r>
      <w:r w:rsidR="00177FB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год» от 2</w:t>
      </w:r>
      <w:r w:rsidR="004455C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5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.12.201</w:t>
      </w:r>
      <w:r w:rsidR="004455C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7 года № 40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дефицит бюджета </w:t>
      </w:r>
      <w:r w:rsidR="00833DB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не планировался.  В течение 201</w:t>
      </w:r>
      <w:r w:rsidR="004455C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года дефицит бюджета городского округа изменялся  в сторону увеличения до  </w:t>
      </w:r>
      <w:r w:rsidR="004455C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87571</w:t>
      </w:r>
      <w:r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4455C2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</w:t>
      </w:r>
      <w:proofErr w:type="gramStart"/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Фактически при исполнении бюджета сложился дефицит в сумме </w:t>
      </w:r>
      <w:r w:rsidR="00833DBE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23</w:t>
      </w:r>
      <w:r w:rsidR="004455C2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814</w:t>
      </w:r>
      <w:r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4455C2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 </w:t>
      </w:r>
      <w:r w:rsidR="0077406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Источники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E54DC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внешнего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финансирования дефицита бюджета</w:t>
      </w:r>
      <w:r w:rsidR="0077406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изменение остатков средств на счет</w:t>
      </w:r>
      <w:r w:rsidR="0077406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ах по учету средств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бюджета городского округа</w:t>
      </w:r>
      <w:r w:rsidR="0077406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E54DC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в течение соответствующего финансового года </w:t>
      </w:r>
      <w:r w:rsidR="0077406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в сумме 4</w:t>
      </w:r>
      <w:r w:rsidR="00972D8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73</w:t>
      </w:r>
      <w:r w:rsidR="0077406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,2 тыс. руб.</w:t>
      </w:r>
      <w:r w:rsidR="00E54DC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Источники внутреннего </w:t>
      </w:r>
      <w:r w:rsidR="00972D8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8E16CE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финансирования дефицита бюджета </w:t>
      </w:r>
      <w:r w:rsidR="00972D8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привлеченный кредит от кредитной организации в сумме 55000,0 тыс. </w:t>
      </w:r>
      <w:r w:rsidR="00972D8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lastRenderedPageBreak/>
        <w:t xml:space="preserve">руб., </w:t>
      </w:r>
      <w:r w:rsidR="0012592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направленный на </w:t>
      </w:r>
      <w:r w:rsidR="00972D8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погашение кредита кредитной организации в сумме</w:t>
      </w:r>
      <w:proofErr w:type="gramEnd"/>
      <w:r w:rsidR="00972D85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31659,2 тыс. руб.</w:t>
      </w:r>
    </w:p>
    <w:p w:rsidR="00125926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</w:t>
      </w:r>
    </w:p>
    <w:p w:rsidR="00125926" w:rsidRPr="0033162F" w:rsidRDefault="00125926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тыс. руб.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4"/>
        <w:gridCol w:w="1453"/>
        <w:gridCol w:w="1133"/>
        <w:gridCol w:w="1167"/>
        <w:gridCol w:w="1137"/>
        <w:gridCol w:w="1335"/>
        <w:gridCol w:w="1137"/>
        <w:gridCol w:w="1335"/>
      </w:tblGrid>
      <w:tr w:rsidR="0033162F" w:rsidRPr="0033162F" w:rsidTr="006B0F90">
        <w:trPr>
          <w:cantSplit/>
          <w:trHeight w:hRule="exact" w:val="540"/>
        </w:trPr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33162F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521" w:rsidRPr="0033162F" w:rsidRDefault="004455C2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Утверждено на 2018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521" w:rsidRPr="0033162F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Фактическое исполнение</w:t>
            </w:r>
          </w:p>
        </w:tc>
        <w:tc>
          <w:tcPr>
            <w:tcW w:w="12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33162F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Отклонение к первоначальным плановым показателям</w:t>
            </w:r>
          </w:p>
        </w:tc>
        <w:tc>
          <w:tcPr>
            <w:tcW w:w="12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521" w:rsidRPr="0033162F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Отклонение к уточненным плановым показателям</w:t>
            </w:r>
          </w:p>
        </w:tc>
      </w:tr>
      <w:tr w:rsidR="0033162F" w:rsidRPr="0033162F" w:rsidTr="006B0F90">
        <w:trPr>
          <w:cantSplit/>
          <w:trHeight w:hRule="exact" w:val="160"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33162F" w:rsidRDefault="00F72521" w:rsidP="00F725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60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33162F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Первоначальные плановые показатели</w:t>
            </w:r>
          </w:p>
        </w:tc>
        <w:tc>
          <w:tcPr>
            <w:tcW w:w="59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33162F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Уточненные плановые показатели</w:t>
            </w: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521" w:rsidRPr="0033162F" w:rsidRDefault="00F72521" w:rsidP="00F725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33162F" w:rsidRDefault="00F72521" w:rsidP="00F725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521" w:rsidRPr="0033162F" w:rsidRDefault="00F72521" w:rsidP="00F725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33162F" w:rsidRPr="0033162F" w:rsidTr="006B0F90">
        <w:trPr>
          <w:cantSplit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33162F" w:rsidRDefault="00F72521" w:rsidP="00F725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6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33162F" w:rsidRDefault="00F72521" w:rsidP="00F725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9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33162F" w:rsidRDefault="00F72521" w:rsidP="00F725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521" w:rsidRPr="0033162F" w:rsidRDefault="00F72521" w:rsidP="00F725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33162F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Абсолютное 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33162F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Относительное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33162F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Абсолютное 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521" w:rsidRPr="0033162F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Относительное</w:t>
            </w:r>
          </w:p>
        </w:tc>
      </w:tr>
      <w:tr w:rsidR="0033162F" w:rsidRPr="0033162F" w:rsidTr="006B0F90">
        <w:trPr>
          <w:trHeight w:val="255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33162F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Дефицит</w:t>
            </w:r>
          </w:p>
        </w:tc>
        <w:tc>
          <w:tcPr>
            <w:tcW w:w="76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33162F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33162F" w:rsidRDefault="004455C2" w:rsidP="00833DBE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87571</w:t>
            </w:r>
            <w:r w:rsidR="00F72521"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1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33162F" w:rsidRDefault="004455C2" w:rsidP="00833DBE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  <w:r w:rsidR="00833DBE"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814</w:t>
            </w:r>
            <w:r w:rsidR="00F72521"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,</w:t>
            </w: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33162F" w:rsidRDefault="004455C2" w:rsidP="00833DBE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23814</w:t>
            </w:r>
            <w:r w:rsidR="00F72521"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,</w:t>
            </w:r>
            <w:r w:rsidR="00833DBE"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33162F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2521" w:rsidRPr="0033162F" w:rsidRDefault="00833DBE" w:rsidP="004455C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4455C2"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63757</w:t>
            </w:r>
            <w:r w:rsidRPr="003316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,5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521" w:rsidRPr="0033162F" w:rsidRDefault="00F72521" w:rsidP="00F7252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    Кредиты юридическим лицам из бюджета городского округа город Михайловка не выдавались, муниципальные гарантии не представлялись.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>Состояние дебиторской и кредиторской задолженности.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тыс. руб.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2822"/>
        <w:gridCol w:w="1688"/>
        <w:gridCol w:w="1690"/>
        <w:gridCol w:w="1688"/>
        <w:gridCol w:w="1683"/>
      </w:tblGrid>
      <w:tr w:rsidR="0033162F" w:rsidRPr="0033162F" w:rsidTr="00C93D53">
        <w:trPr>
          <w:trHeight w:val="74"/>
        </w:trPr>
        <w:tc>
          <w:tcPr>
            <w:tcW w:w="1474" w:type="pct"/>
          </w:tcPr>
          <w:p w:rsidR="00F72521" w:rsidRPr="0033162F" w:rsidRDefault="00F72521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65" w:type="pct"/>
            <w:gridSpan w:val="2"/>
          </w:tcPr>
          <w:p w:rsidR="00F72521" w:rsidRPr="0033162F" w:rsidRDefault="00C93D53" w:rsidP="00F72521">
            <w:pPr>
              <w:autoSpaceDE w:val="0"/>
              <w:spacing w:line="100" w:lineRule="atLeast"/>
              <w:jc w:val="center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На 01.01.2018</w:t>
            </w:r>
          </w:p>
        </w:tc>
        <w:tc>
          <w:tcPr>
            <w:tcW w:w="1762" w:type="pct"/>
            <w:gridSpan w:val="2"/>
          </w:tcPr>
          <w:p w:rsidR="00F72521" w:rsidRPr="0033162F" w:rsidRDefault="00C93D53" w:rsidP="00F72521">
            <w:pPr>
              <w:autoSpaceDE w:val="0"/>
              <w:spacing w:line="100" w:lineRule="atLeast"/>
              <w:jc w:val="center"/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sz w:val="24"/>
                <w:szCs w:val="24"/>
                <w:lang w:eastAsia="ar-SA"/>
              </w:rPr>
              <w:t>На 01.01.2019</w:t>
            </w:r>
          </w:p>
        </w:tc>
      </w:tr>
      <w:tr w:rsidR="0033162F" w:rsidRPr="0033162F" w:rsidTr="00C93D53">
        <w:tc>
          <w:tcPr>
            <w:tcW w:w="1474" w:type="pct"/>
          </w:tcPr>
          <w:p w:rsidR="00F72521" w:rsidRPr="0033162F" w:rsidRDefault="00F72521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82" w:type="pct"/>
          </w:tcPr>
          <w:p w:rsidR="00F72521" w:rsidRPr="0033162F" w:rsidRDefault="00F72521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всего</w:t>
            </w:r>
          </w:p>
        </w:tc>
        <w:tc>
          <w:tcPr>
            <w:tcW w:w="883" w:type="pct"/>
          </w:tcPr>
          <w:p w:rsidR="00F72521" w:rsidRPr="0033162F" w:rsidRDefault="00F72521" w:rsidP="002A6CC6">
            <w:pPr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В том числе просроченная задолженность</w:t>
            </w:r>
          </w:p>
        </w:tc>
        <w:tc>
          <w:tcPr>
            <w:tcW w:w="882" w:type="pct"/>
          </w:tcPr>
          <w:p w:rsidR="00F72521" w:rsidRPr="0033162F" w:rsidRDefault="00F72521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всего</w:t>
            </w:r>
          </w:p>
        </w:tc>
        <w:tc>
          <w:tcPr>
            <w:tcW w:w="880" w:type="pct"/>
          </w:tcPr>
          <w:p w:rsidR="00F72521" w:rsidRPr="0033162F" w:rsidRDefault="00F72521" w:rsidP="002A6CC6">
            <w:pPr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В том числе просроченная задолженность</w:t>
            </w:r>
          </w:p>
        </w:tc>
      </w:tr>
      <w:tr w:rsidR="0033162F" w:rsidRPr="0033162F" w:rsidTr="00C93D53">
        <w:tc>
          <w:tcPr>
            <w:tcW w:w="1474" w:type="pct"/>
          </w:tcPr>
          <w:p w:rsidR="00C93D53" w:rsidRPr="0033162F" w:rsidRDefault="00C93D53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 xml:space="preserve">Дебиторская задолженность </w:t>
            </w:r>
          </w:p>
        </w:tc>
        <w:tc>
          <w:tcPr>
            <w:tcW w:w="882" w:type="pct"/>
          </w:tcPr>
          <w:p w:rsidR="00C93D53" w:rsidRPr="0033162F" w:rsidRDefault="00C93D53" w:rsidP="00712026">
            <w:pPr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116711,8</w:t>
            </w:r>
          </w:p>
        </w:tc>
        <w:tc>
          <w:tcPr>
            <w:tcW w:w="883" w:type="pct"/>
          </w:tcPr>
          <w:p w:rsidR="00C93D53" w:rsidRPr="0033162F" w:rsidRDefault="00C93D53" w:rsidP="00712026">
            <w:pPr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103584,6</w:t>
            </w:r>
          </w:p>
        </w:tc>
        <w:tc>
          <w:tcPr>
            <w:tcW w:w="882" w:type="pct"/>
          </w:tcPr>
          <w:p w:rsidR="00C93D53" w:rsidRPr="0033162F" w:rsidRDefault="005C4F42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1</w:t>
            </w:r>
            <w:r w:rsidR="001F604F" w:rsidRPr="0033162F">
              <w:rPr>
                <w:rFonts w:eastAsia="Calibri" w:cs="Calibri"/>
                <w:color w:val="000000" w:themeColor="text1"/>
                <w:lang w:eastAsia="ar-SA"/>
              </w:rPr>
              <w:t>958790,6</w:t>
            </w:r>
          </w:p>
        </w:tc>
        <w:tc>
          <w:tcPr>
            <w:tcW w:w="880" w:type="pct"/>
          </w:tcPr>
          <w:p w:rsidR="00C93D53" w:rsidRPr="0033162F" w:rsidRDefault="000E4D61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103</w:t>
            </w:r>
            <w:r w:rsidR="001F604F" w:rsidRPr="0033162F">
              <w:rPr>
                <w:rFonts w:eastAsia="Calibri" w:cs="Calibri"/>
                <w:color w:val="000000" w:themeColor="text1"/>
                <w:lang w:eastAsia="ar-SA"/>
              </w:rPr>
              <w:t>361</w:t>
            </w:r>
            <w:r w:rsidRPr="0033162F">
              <w:rPr>
                <w:rFonts w:eastAsia="Calibri" w:cs="Calibri"/>
                <w:color w:val="000000" w:themeColor="text1"/>
                <w:lang w:eastAsia="ar-SA"/>
              </w:rPr>
              <w:t>,</w:t>
            </w:r>
            <w:r w:rsidR="001F604F" w:rsidRPr="0033162F">
              <w:rPr>
                <w:rFonts w:eastAsia="Calibri" w:cs="Calibri"/>
                <w:color w:val="000000" w:themeColor="text1"/>
                <w:lang w:eastAsia="ar-SA"/>
              </w:rPr>
              <w:t>2</w:t>
            </w:r>
          </w:p>
        </w:tc>
      </w:tr>
      <w:tr w:rsidR="0033162F" w:rsidRPr="0033162F" w:rsidTr="00C93D53">
        <w:tc>
          <w:tcPr>
            <w:tcW w:w="1474" w:type="pct"/>
          </w:tcPr>
          <w:p w:rsidR="00C93D53" w:rsidRPr="0033162F" w:rsidRDefault="00C93D53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Кредиторская задолженность</w:t>
            </w:r>
          </w:p>
        </w:tc>
        <w:tc>
          <w:tcPr>
            <w:tcW w:w="882" w:type="pct"/>
          </w:tcPr>
          <w:p w:rsidR="00C93D53" w:rsidRPr="0033162F" w:rsidRDefault="00C93D53" w:rsidP="00712026">
            <w:pPr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65782,3</w:t>
            </w:r>
          </w:p>
        </w:tc>
        <w:tc>
          <w:tcPr>
            <w:tcW w:w="883" w:type="pct"/>
          </w:tcPr>
          <w:p w:rsidR="00C93D53" w:rsidRPr="0033162F" w:rsidRDefault="00C93D53" w:rsidP="00712026">
            <w:pPr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18482,3</w:t>
            </w:r>
          </w:p>
        </w:tc>
        <w:tc>
          <w:tcPr>
            <w:tcW w:w="882" w:type="pct"/>
          </w:tcPr>
          <w:p w:rsidR="00C93D53" w:rsidRPr="0033162F" w:rsidRDefault="005C4F42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36917,0</w:t>
            </w:r>
          </w:p>
        </w:tc>
        <w:tc>
          <w:tcPr>
            <w:tcW w:w="880" w:type="pct"/>
          </w:tcPr>
          <w:p w:rsidR="00C93D53" w:rsidRPr="0033162F" w:rsidRDefault="005C4F42" w:rsidP="00F72521">
            <w:pPr>
              <w:autoSpaceDE w:val="0"/>
              <w:spacing w:line="100" w:lineRule="atLeast"/>
              <w:jc w:val="both"/>
              <w:rPr>
                <w:rFonts w:eastAsia="Calibri" w:cs="Calibri"/>
                <w:color w:val="000000" w:themeColor="text1"/>
                <w:lang w:eastAsia="ar-SA"/>
              </w:rPr>
            </w:pPr>
            <w:r w:rsidRPr="0033162F">
              <w:rPr>
                <w:rFonts w:eastAsia="Calibri" w:cs="Calibri"/>
                <w:color w:val="000000" w:themeColor="text1"/>
                <w:lang w:eastAsia="ar-SA"/>
              </w:rPr>
              <w:t>5376,9</w:t>
            </w:r>
          </w:p>
        </w:tc>
      </w:tr>
    </w:tbl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 xml:space="preserve">            </w:t>
      </w:r>
      <w:proofErr w:type="gramStart"/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Дебиторская задолженность бюджета города </w:t>
      </w:r>
      <w:r w:rsidR="005C4F4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согласно отчетности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по состоянию на 01.</w:t>
      </w:r>
      <w:r w:rsidR="00BC746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01.201</w:t>
      </w:r>
      <w:r w:rsidR="00C93D5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9</w:t>
      </w:r>
      <w:r w:rsidR="005C4F4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года увеличилась на 1548502,0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 по сравнению с</w:t>
      </w:r>
      <w:r w:rsidR="00BC746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началом года и составила 1</w:t>
      </w:r>
      <w:r w:rsidR="005C4F42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665213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</w:t>
      </w:r>
      <w:r w:rsidR="00BC7469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="0006691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6075B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Существенное изменение данного показателя в </w:t>
      </w:r>
      <w:proofErr w:type="spellStart"/>
      <w:r w:rsidR="006075B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межотчетный</w:t>
      </w:r>
      <w:proofErr w:type="spellEnd"/>
      <w:r w:rsidR="006075B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период</w:t>
      </w:r>
      <w:r w:rsidR="00066913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объясняется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3A1E6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применением при ведении бухгалт</w:t>
      </w:r>
      <w:r w:rsidR="008D56E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ерского учета с 01.01.2018 года и</w:t>
      </w:r>
      <w:r w:rsidR="003A1E6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формировании показателей бухгалтерской отчетности (финансовой) отчетности за периоды, начинающиеся с 01.01.2018 года</w:t>
      </w:r>
      <w:r w:rsidR="008D56E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, </w:t>
      </w:r>
      <w:r w:rsidR="003A1E6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федерального стандарта бухгалтерского учета для</w:t>
      </w:r>
      <w:proofErr w:type="gramEnd"/>
      <w:r w:rsidR="003A1E6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организаций го</w:t>
      </w:r>
      <w:r w:rsidR="008D56E1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сударственного сектора «Аренда» (</w:t>
      </w:r>
      <w:r w:rsidR="003A1E6D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изменение отражения расчетов по аренде земельных участков). </w:t>
      </w:r>
      <w:r w:rsidR="00177FB8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Как следствие д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ебиторская задолженность складывается в основном из </w:t>
      </w:r>
      <w:r w:rsidR="002666A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задолженности по доходам, которая составляет </w:t>
      </w:r>
      <w:r w:rsidR="001A757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1956874,5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="00B75B9F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, в том числе долгосрочной</w:t>
      </w:r>
      <w:r w:rsidR="004C3AE4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0F663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2666A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в сумме 1780481,3 тыс. руб. (</w:t>
      </w:r>
      <w:r w:rsidR="000F6636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платежи по которой ожидаются более чем через 12 месяцев после отчетной даты</w:t>
      </w:r>
      <w:r w:rsidR="004C3AE4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)</w:t>
      </w:r>
      <w:r w:rsidR="001A757A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.</w:t>
      </w:r>
      <w:r w:rsidR="004C3AE4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="004C3AE4"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Р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асчеты с плательщиками доходов от собственности </w:t>
      </w:r>
      <w:r w:rsidR="006D7AC8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1898046</w:t>
      </w:r>
      <w:r w:rsidR="00E23711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</w:t>
      </w:r>
      <w:r w:rsidR="006D7AC8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4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="002666AA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(+</w:t>
      </w:r>
      <w:r w:rsidR="006D7AC8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1827104,2</w:t>
      </w:r>
      <w:r w:rsidR="00E23711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руб.)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 расчеты с плательщиками доход</w:t>
      </w:r>
      <w:r w:rsidR="00E23711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о</w:t>
      </w:r>
      <w:r w:rsidR="009E1BBB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в от оказания платных услуг 972</w:t>
      </w:r>
      <w:r w:rsidR="00E23711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</w:t>
      </w:r>
      <w:r w:rsidR="009E1BBB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5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="00E23711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(</w:t>
      </w:r>
      <w:r w:rsidR="009E1BBB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-153,7</w:t>
      </w:r>
      <w:r w:rsidR="00E23711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руб.)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, расчеты по доходам от </w:t>
      </w:r>
      <w:r w:rsidR="00C12CE4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операций с основными средствами </w:t>
      </w:r>
      <w:r w:rsidR="004C3AE4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5560,0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="00E23711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(-</w:t>
      </w:r>
      <w:r w:rsidR="00712026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3755,9</w:t>
      </w:r>
      <w:r w:rsidR="00E23711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руб.)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</w:t>
      </w:r>
      <w:r w:rsidR="006B4327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расчеты по доходам от операций с непроизведенными активами </w:t>
      </w:r>
      <w:r w:rsidR="00712026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482</w:t>
      </w:r>
      <w:r w:rsidR="006B4327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</w:t>
      </w:r>
      <w:r w:rsidR="00712026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1</w:t>
      </w:r>
      <w:r w:rsidR="00212406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руб.(</w:t>
      </w:r>
      <w:r w:rsidR="00712026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-147,5</w:t>
      </w:r>
      <w:r w:rsidR="006B4327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руб.)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и пр.), </w:t>
      </w:r>
      <w:r w:rsidR="004A3A66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задолженности по расходам </w:t>
      </w:r>
      <w:r w:rsidR="003F6D0B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993,6</w:t>
      </w:r>
      <w:proofErr w:type="gramEnd"/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тыс. руб. (</w:t>
      </w:r>
      <w:r w:rsidR="003F6D0B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расчеты по оплате труда 136,8 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тыс. руб.</w:t>
      </w:r>
      <w:r w:rsidR="003F6D0B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(+112,6 тыс. руб.)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 а</w:t>
      </w:r>
      <w:r w:rsidR="003F6D0B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ванс по коммунальным услугам 18</w:t>
      </w:r>
      <w:r w:rsidR="004A3A66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</w:t>
      </w:r>
      <w:r w:rsidR="003F6D0B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6</w:t>
      </w:r>
      <w:r w:rsidR="004A3A66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="003F6D0B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(+16,4 тыс. руб.)</w:t>
      </w:r>
      <w:r w:rsidR="004A3A66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, приобретение </w:t>
      </w:r>
      <w:r w:rsidR="003F6D0B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материальных запасов</w:t>
      </w:r>
      <w:r w:rsidR="004A3A66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3F6D0B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11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</w:t>
      </w:r>
      <w:r w:rsidR="004A3A66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2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="003F6D0B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(-18,0 тыс. руб.)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 приобретение основных средств 25,9 тыс. руб.</w:t>
      </w:r>
      <w:r w:rsidR="00691EEA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 расчеты с подотчетными лицами по</w:t>
      </w:r>
      <w:r w:rsidR="003F6D0B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оплате услуг связи 699,2</w:t>
      </w:r>
      <w:r w:rsidR="00691EEA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="006B0F90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C62445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(</w:t>
      </w:r>
      <w:r w:rsidR="003F6D0B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-196,2 тыс. руб.. </w:t>
      </w:r>
      <w:r w:rsidR="00C62445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выданы конв</w:t>
      </w:r>
      <w:r w:rsidR="006B0F90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ерты, марки в декабре 201</w:t>
      </w:r>
      <w:r w:rsidR="003F6D0B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8</w:t>
      </w:r>
      <w:r w:rsidR="006B0F90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года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), задолженности по</w:t>
      </w:r>
      <w:proofErr w:type="gramEnd"/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ущербу и другим д</w:t>
      </w:r>
      <w:r w:rsidR="00C62445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оходам  3</w:t>
      </w:r>
      <w:r w:rsidR="003F6D0B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5143,0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="006B0F90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C62445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(</w:t>
      </w:r>
      <w:r w:rsidR="003F6D0B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+2143</w:t>
      </w:r>
      <w:r w:rsidR="00C62445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</w:t>
      </w:r>
      <w:r w:rsidR="003F6D0B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2</w:t>
      </w:r>
      <w:r w:rsidR="00C62445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руб.)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(наиболее крупные суммы: неотработанный подрядчиком аванс по строительству детского сада в п. Отрадное в сумме 21522,7 тыс. руб., неустойка по муниципальным контрактам за нарушение сроков выполнения работ по решениям суда 11</w:t>
      </w:r>
      <w:r w:rsidR="002170AA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469,2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="002170AA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(+262,8 тыс. руб.)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.</w:t>
      </w:r>
      <w:proofErr w:type="gramEnd"/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Рост задолженности сложился</w:t>
      </w:r>
      <w:r w:rsidR="00C62445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в основном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: по арендной плате за </w:t>
      </w:r>
      <w:r w:rsidR="00B72402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земельные участки</w:t>
      </w:r>
      <w:r w:rsidR="004F1567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и составляет </w:t>
      </w:r>
      <w:r w:rsidR="004F3215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1827104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</w:t>
      </w:r>
      <w:r w:rsidR="004F3215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2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="004F1567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В соответствии с требованиями пункта 78, пункта 123 Плана счетов бюджетного учета и Инструкции по его применению, утвержденных приказом Минфина России от 06.12.2010 № 162н. с 2018 года общая сумма дебиторской задолженности по арендным платежам отражается с учетом начисления доходов будущих </w:t>
      </w:r>
      <w:r w:rsidR="004F1567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lastRenderedPageBreak/>
        <w:t>периодов от операционной аренды</w:t>
      </w:r>
      <w:proofErr w:type="gramEnd"/>
      <w:r w:rsidR="004F1567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имущества, земель, переданных арендаторам согласно заключенным договорам. 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           Кредиторская задолженность составляет на 01.01.201</w:t>
      </w:r>
      <w:r w:rsidR="004F3215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9</w:t>
      </w:r>
      <w:r w:rsidR="00B72402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г. </w:t>
      </w:r>
      <w:r w:rsidR="004F3215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36917,0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руб., из них</w:t>
      </w:r>
      <w:r w:rsidR="006B0F90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: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1. </w:t>
      </w:r>
      <w:proofErr w:type="gramStart"/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Расчеты </w:t>
      </w:r>
      <w:r w:rsidR="00B72402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по принятым обязательствам </w:t>
      </w:r>
      <w:r w:rsidR="005114C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23279,9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 </w:t>
      </w:r>
      <w:r w:rsidR="00B72402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(</w:t>
      </w:r>
      <w:r w:rsidR="005114C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-127</w:t>
      </w:r>
      <w:r w:rsidR="00AC0243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2</w:t>
      </w:r>
      <w:r w:rsidR="005114C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3,6</w:t>
      </w:r>
      <w:r w:rsidR="00AC0243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руб.),</w:t>
      </w:r>
      <w:r w:rsidR="006B0F90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в том числе </w:t>
      </w:r>
      <w:r w:rsidR="00AC0243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задолженность арендаторам за питание детей в образовательных учреждениях </w:t>
      </w:r>
      <w:r w:rsidR="004021A2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2132</w:t>
      </w:r>
      <w:r w:rsidR="005114C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,9</w:t>
      </w:r>
      <w:r w:rsidR="00AC0243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="00814C2D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, </w:t>
      </w:r>
      <w:r w:rsidR="004021A2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за питание в ГДО и ГПД 2212,6</w:t>
      </w:r>
      <w:r w:rsidR="00EF462D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руб., ремонт гидротехнических сооружений  1178,2</w:t>
      </w:r>
      <w:r w:rsidR="00814C2D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руб., ра</w:t>
      </w:r>
      <w:r w:rsidR="00EF462D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зработка и изготовление технической документации </w:t>
      </w:r>
      <w:r w:rsidR="00814C2D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по </w:t>
      </w:r>
      <w:r w:rsidR="00EF462D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комплексной схеме организации дорожного покрытия </w:t>
      </w:r>
      <w:r w:rsidR="00814C2D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в сумме 2</w:t>
      </w:r>
      <w:r w:rsidR="00EF462D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057,0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</w:t>
      </w:r>
      <w:proofErr w:type="spellStart"/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руб</w:t>
      </w:r>
      <w:proofErr w:type="spellEnd"/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, </w:t>
      </w:r>
      <w:r w:rsidR="00EF462D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декларации гидротехнических сооружений 400,0 тыс</w:t>
      </w:r>
      <w:proofErr w:type="gramEnd"/>
      <w:r w:rsidR="00EF462D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. руб., 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по комм</w:t>
      </w:r>
      <w:r w:rsidR="00AC0243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унальным услугам за декабрь 201</w:t>
      </w:r>
      <w:r w:rsidR="00EF462D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8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года </w:t>
      </w:r>
      <w:r w:rsidR="00EF462D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5878,3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</w:t>
      </w:r>
      <w:proofErr w:type="gramStart"/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.</w:t>
      </w:r>
      <w:r w:rsidR="00AC0243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(</w:t>
      </w:r>
      <w:proofErr w:type="gramEnd"/>
      <w:r w:rsidR="00AC0243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отсутствие средств в бюджете)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,  по </w:t>
      </w:r>
      <w:r w:rsidR="00AC0243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работам по содержанию имущества </w:t>
      </w:r>
      <w:r w:rsidR="00EF462D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3361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</w:t>
      </w:r>
      <w:r w:rsidR="00EF462D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1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="006B0F90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AC0243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(отсутствие средств в бюджете)</w:t>
      </w:r>
      <w:r w:rsidR="00311137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, </w:t>
      </w:r>
      <w:r w:rsidR="00DD5C5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за строительно-монтажные работы по нежилому зданию при реконструкции под пожарное ДЕПО в сумме 1260,3</w:t>
      </w:r>
      <w:r w:rsidR="00311137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 по приобретению ГСМ, запчастей для оргтехники</w:t>
      </w:r>
      <w:r w:rsidR="000F730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 канцтоваров</w:t>
      </w:r>
      <w:r w:rsidR="00DD5C5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 материальных ценностей по муниципальной программе «Обеспечение мер противопожарной безопасности»</w:t>
      </w:r>
      <w:r w:rsidR="000F730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DD5C5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(</w:t>
      </w:r>
      <w:r w:rsidR="000F730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из-за отсутствия денежных средств в местном бюджете и пр.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); 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2.  Расчеты по платежам в бюджеты на уплату страховых взносов во внебюджетн</w:t>
      </w:r>
      <w:r w:rsidR="000F730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ые фонды</w:t>
      </w:r>
      <w:r w:rsidR="002F3566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, </w:t>
      </w:r>
      <w:r w:rsidR="000F730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за декабрь 201</w:t>
      </w:r>
      <w:r w:rsidR="00DD5C5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8</w:t>
      </w:r>
      <w:r w:rsidR="000F730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года</w:t>
      </w:r>
      <w:r w:rsidR="002F3566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, </w:t>
      </w:r>
      <w:r w:rsidR="000F730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DD5C5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13204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</w:t>
      </w:r>
      <w:r w:rsidR="00DD5C5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5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</w:t>
      </w:r>
      <w:r w:rsidR="00DD5C5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.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; </w:t>
      </w:r>
    </w:p>
    <w:p w:rsidR="00F72521" w:rsidRPr="0033162F" w:rsidRDefault="00F72521" w:rsidP="00F72521">
      <w:pPr>
        <w:autoSpaceDE w:val="0"/>
        <w:spacing w:after="0" w:line="100" w:lineRule="atLeast"/>
        <w:jc w:val="both"/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3. </w:t>
      </w:r>
      <w:r w:rsidR="006B0F90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З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адолженности по доходам </w:t>
      </w:r>
      <w:r w:rsidR="006B0F90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в сумме </w:t>
      </w:r>
      <w:r w:rsidR="00661C3F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1397</w:t>
      </w:r>
      <w:r w:rsidR="006B0F90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</w:t>
      </w:r>
      <w:r w:rsidR="00661C3F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1</w:t>
      </w:r>
      <w:r w:rsidR="006B0F90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</w:t>
      </w:r>
      <w:r w:rsidR="00D46B67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. 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в т.</w:t>
      </w:r>
      <w:r w:rsidR="006B0F90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ч. </w:t>
      </w:r>
      <w:r w:rsidR="000F730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остатки 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субсидий и субвенций</w:t>
      </w:r>
      <w:r w:rsidR="000F730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, подлежащих перечислению в областной бюджет </w:t>
      </w:r>
      <w:r w:rsidR="00661C3F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436</w:t>
      </w:r>
      <w:r w:rsidR="000F730C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</w:t>
      </w:r>
      <w:r w:rsidR="00661C3F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7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руб.;  </w:t>
      </w:r>
    </w:p>
    <w:p w:rsidR="00F72521" w:rsidRPr="0033162F" w:rsidRDefault="00F72521" w:rsidP="00A16F42">
      <w:pPr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           Относительно начала года кредиторская зад</w:t>
      </w:r>
      <w:r w:rsidR="00E05149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олженность у</w:t>
      </w:r>
      <w:r w:rsidR="00434DB2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меньш</w:t>
      </w:r>
      <w:r w:rsidR="00E05149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илась  на </w:t>
      </w:r>
      <w:r w:rsidR="00D96687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2</w:t>
      </w:r>
      <w:r w:rsidR="00E05149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8</w:t>
      </w:r>
      <w:r w:rsidR="00D96687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872,9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руб., или на </w:t>
      </w:r>
      <w:r w:rsidR="00D96687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4</w:t>
      </w:r>
      <w:r w:rsidR="00E05149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3,9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%. </w:t>
      </w:r>
      <w:r w:rsidR="000A799E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Уменьшение суммы 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задолженности</w:t>
      </w:r>
      <w:r w:rsidR="000A799E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по состоянию на 01.01.2019 года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объясняется </w:t>
      </w:r>
      <w:r w:rsidR="000A799E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существенным снижением задолженности за коммунальные услуги (-9410</w:t>
      </w:r>
      <w:r w:rsidR="00DB7DD7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,8</w:t>
      </w:r>
      <w:r w:rsidR="000A799E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руб.) по страховым взносам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0A799E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на медицинское и  пенсионное страхование (-15819,9 тыс. руб.).</w:t>
      </w:r>
      <w:r w:rsidR="00A16F42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 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Просроченная кредиторск</w:t>
      </w:r>
      <w:r w:rsidR="000A799E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ая задолженность составила 5378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,</w:t>
      </w:r>
      <w:r w:rsidR="000A799E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>9</w:t>
      </w: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тыс. руб.</w:t>
      </w:r>
      <w:r w:rsidR="000A799E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Вся сумма просроченной задолженности приходится на задолженность по принятым обязательствам</w:t>
      </w:r>
      <w:r w:rsidR="00A16F42"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.   </w:t>
      </w:r>
    </w:p>
    <w:p w:rsidR="00531607" w:rsidRPr="0033162F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1607" w:rsidRPr="0033162F" w:rsidRDefault="00531607" w:rsidP="0053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33162F" w:rsidRPr="0033162F" w:rsidRDefault="0033162F" w:rsidP="0033162F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Расходы. Общая часть.</w:t>
      </w:r>
    </w:p>
    <w:p w:rsidR="0033162F" w:rsidRPr="0033162F" w:rsidRDefault="0033162F" w:rsidP="0033162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Кассовые расходы бюджета городского округа исполнены на 95,9 % уточненного плана и составили 1668623,0 тыс. рублей, что выше  расходов 2017 года на 157118,9 тыс. руб. К первоначальному плану фактическое исполнение увеличилось на 270338,6 тыс. руб. Общая характеристика расходов по разделам приведена в таблице:</w:t>
      </w:r>
      <w:r w:rsidRPr="003316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3162F" w:rsidRPr="0033162F" w:rsidRDefault="0033162F" w:rsidP="0033162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358"/>
        <w:gridCol w:w="1596"/>
        <w:gridCol w:w="1778"/>
        <w:gridCol w:w="1225"/>
        <w:gridCol w:w="1595"/>
      </w:tblGrid>
      <w:tr w:rsidR="0033162F" w:rsidRPr="0033162F" w:rsidTr="00F10E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Наименование раздела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Решение от 25.12.2017 № 40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 xml:space="preserve">План в соответствии с отчетом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Факт 2018 года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Доля в общей структуре расходов</w:t>
            </w:r>
          </w:p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2018, %</w:t>
            </w:r>
          </w:p>
        </w:tc>
      </w:tr>
      <w:tr w:rsidR="0033162F" w:rsidRPr="0033162F" w:rsidTr="00F10E80">
        <w:trPr>
          <w:trHeight w:val="222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Расходы бюджета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1398284,4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1740615,6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1668623,0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</w:tr>
      <w:tr w:rsidR="0033162F" w:rsidRPr="0033162F" w:rsidTr="00F10E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0100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Общегосударственные расходы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165233,2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185398,6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176837,0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10,6</w:t>
            </w:r>
          </w:p>
        </w:tc>
      </w:tr>
      <w:tr w:rsidR="0033162F" w:rsidRPr="0033162F" w:rsidTr="00F10E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0300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13363,2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13208,7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11002,1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0,6</w:t>
            </w:r>
          </w:p>
        </w:tc>
      </w:tr>
      <w:tr w:rsidR="0033162F" w:rsidRPr="0033162F" w:rsidTr="00F10E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0400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47867,0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114988,2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112547,4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6,7</w:t>
            </w:r>
          </w:p>
        </w:tc>
      </w:tr>
      <w:tr w:rsidR="0033162F" w:rsidRPr="0033162F" w:rsidTr="00F10E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0500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105592,7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159218,8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154866,3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9,3</w:t>
            </w:r>
          </w:p>
        </w:tc>
      </w:tr>
      <w:tr w:rsidR="0033162F" w:rsidRPr="0033162F" w:rsidTr="00F10E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0600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Охрана окружающей среды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2228,8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33162F" w:rsidRPr="0033162F" w:rsidTr="00F10E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0700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855158,2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989332,3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942756,5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56,5</w:t>
            </w:r>
          </w:p>
        </w:tc>
      </w:tr>
      <w:tr w:rsidR="0033162F" w:rsidRPr="0033162F" w:rsidTr="00F10E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0800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Культура, кинематография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97828,9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113343,6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109076,5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6,5</w:t>
            </w:r>
          </w:p>
        </w:tc>
      </w:tr>
      <w:tr w:rsidR="0033162F" w:rsidRPr="0033162F" w:rsidTr="00F10E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Социальная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57787,4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110627,8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108426,7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6,5</w:t>
            </w:r>
          </w:p>
        </w:tc>
      </w:tr>
      <w:tr w:rsidR="0033162F" w:rsidRPr="0033162F" w:rsidTr="00F10E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1100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Физическая культура и спорт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47199,0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47865,2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46532,2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2,8</w:t>
            </w:r>
          </w:p>
        </w:tc>
      </w:tr>
      <w:tr w:rsidR="0033162F" w:rsidRPr="0033162F" w:rsidTr="00F10E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1200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Средства массовой информации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3436,1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3408,1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0,2</w:t>
            </w:r>
          </w:p>
        </w:tc>
      </w:tr>
      <w:tr w:rsidR="0033162F" w:rsidRPr="0033162F" w:rsidTr="00F10E80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1300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3026,0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3196,3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3170,2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162F">
              <w:rPr>
                <w:rFonts w:ascii="Times New Roman" w:eastAsia="Calibri" w:hAnsi="Times New Roman" w:cs="Times New Roman"/>
                <w:color w:val="000000" w:themeColor="text1"/>
              </w:rPr>
              <w:t>0,2</w:t>
            </w:r>
          </w:p>
        </w:tc>
      </w:tr>
    </w:tbl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B2B954" wp14:editId="6C7C855C">
            <wp:extent cx="6153150" cy="5124450"/>
            <wp:effectExtent l="0" t="0" r="19050" b="1905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      Фактическое исполнение бюджета к первоначально утверждённому плану составило 119,3 %.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      Традиционно, наибольший удельный вес в общей структуре расходов занимают расходы на «Образование» - 56,5%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На социальную сферу (образование, культура, здравоохранение, социальная политика, физкультура) направлено 72,32% (или  1206791,9  тыс. рублей) от общей суммы </w:t>
      </w:r>
      <w:r w:rsidRPr="0033162F">
        <w:rPr>
          <w:rFonts w:ascii="Times New Roman" w:eastAsia="Calibri" w:hAnsi="Times New Roman" w:cs="Times New Roman"/>
          <w:sz w:val="24"/>
          <w:szCs w:val="24"/>
        </w:rPr>
        <w:lastRenderedPageBreak/>
        <w:t>расходов.</w:t>
      </w:r>
      <w:proofErr w:type="gramEnd"/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По сравнению  с предыдущим отчетным периодом, расходы на социальную сферу выросли  на 116971,0 тыс. руб</w:t>
      </w:r>
      <w:r w:rsidRPr="0033162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</w:p>
    <w:p w:rsidR="0033162F" w:rsidRPr="0033162F" w:rsidRDefault="0033162F" w:rsidP="0033162F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Решением Михайловской городской Думы от № 40 от 25.12.2017 «О бюджете городского округа город Михайловка на 2018 год и плановый период 2019 и 2020 годов» утвержден перечень </w:t>
      </w:r>
      <w:r w:rsidRPr="0033162F">
        <w:rPr>
          <w:rFonts w:ascii="Times New Roman" w:hAnsi="Times New Roman" w:cs="Times New Roman"/>
          <w:bCs/>
          <w:sz w:val="24"/>
          <w:szCs w:val="24"/>
        </w:rPr>
        <w:t>главных администраторов дохо</w:t>
      </w:r>
      <w:r w:rsidR="00A43A11">
        <w:rPr>
          <w:rFonts w:ascii="Times New Roman" w:hAnsi="Times New Roman" w:cs="Times New Roman"/>
          <w:bCs/>
          <w:sz w:val="24"/>
          <w:szCs w:val="24"/>
        </w:rPr>
        <w:t>дов бюджета городского округа</w:t>
      </w:r>
      <w:r w:rsidRPr="0033162F">
        <w:rPr>
          <w:rFonts w:ascii="Times New Roman" w:eastAsia="Calibri" w:hAnsi="Times New Roman" w:cs="Times New Roman"/>
          <w:sz w:val="24"/>
          <w:szCs w:val="24"/>
        </w:rPr>
        <w:t>: администрация городского округа город Михайловка, Михайловская городская Дума, контрольно-счетная комиссия городского округа город Михайловка, комитет по финансам администрации городского округа город Михайловка.</w:t>
      </w:r>
      <w:proofErr w:type="gramEnd"/>
    </w:p>
    <w:p w:rsidR="0033162F" w:rsidRPr="0033162F" w:rsidRDefault="0033162F" w:rsidP="0033162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162F">
        <w:rPr>
          <w:rFonts w:ascii="Times New Roman" w:eastAsia="Times New Roman" w:hAnsi="Times New Roman" w:cs="Times New Roman"/>
          <w:sz w:val="24"/>
          <w:szCs w:val="20"/>
          <w:lang w:eastAsia="ru-RU"/>
        </w:rPr>
        <w:t>Из приведенных в таблице данных видно, что в 2018 году общий объем неисполненных расходов составил 71992,6 тыс. рублей, или на 14110,9 тыс. руб. меньше, чем в 2017 году. При этом наибольший процент неисполнения сложился по разделу 0300 «Национальная безопасность и правоохранительная деятельность» (83,3% или  11002,1 тыс. руб.).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      Исполнение по разделам бюджетной классификации сложилось следующим образом.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sz w:val="24"/>
          <w:szCs w:val="24"/>
        </w:rPr>
        <w:t xml:space="preserve">           По разделу «Общегосударственные вопросы» </w:t>
      </w:r>
      <w:r w:rsidRPr="0033162F">
        <w:rPr>
          <w:rFonts w:ascii="Times New Roman" w:eastAsia="Calibri" w:hAnsi="Times New Roman" w:cs="Times New Roman"/>
          <w:sz w:val="24"/>
          <w:szCs w:val="24"/>
        </w:rPr>
        <w:t>кассовые расходы выросли в  сравнении с 2017 годом на 1226,7  тыс. руб.  и исполнены на 95,4 % плановых назначений или в сумме 176837,0  тыс. рублей.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162F" w:rsidRPr="0033162F" w:rsidRDefault="0033162F" w:rsidP="00331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162F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Волгоградской обл. от 26.10.2017 N 558-п "Об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2018 год" установлен норматив в размере 89733,0 тыс. рублей.</w:t>
      </w:r>
      <w:proofErr w:type="gramEnd"/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Согласно отчету об исполнении бюджета за 2018 год, расходы на содержание органов местного самоуправления городского округа не превышают установленный норматив. Рекомендация устанавливать расходы на содержание представительного органа местного самоуправления и контрольно-счетного органа в совокупности в </w:t>
      </w:r>
      <w:proofErr w:type="gramStart"/>
      <w:r w:rsidRPr="0033162F">
        <w:rPr>
          <w:rFonts w:ascii="Times New Roman" w:eastAsia="Calibri" w:hAnsi="Times New Roman" w:cs="Times New Roman"/>
          <w:sz w:val="24"/>
          <w:szCs w:val="24"/>
        </w:rPr>
        <w:t>объеме, не превышающем 7 процентов норматива на содержание органов местного самоуправления выполняется</w:t>
      </w:r>
      <w:proofErr w:type="gramEnd"/>
      <w:r w:rsidRPr="003316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62F" w:rsidRPr="0033162F" w:rsidRDefault="0033162F" w:rsidP="0033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3162F">
        <w:rPr>
          <w:rFonts w:ascii="Calibri" w:eastAsia="Calibri" w:hAnsi="Calibri" w:cs="Times New Roman"/>
          <w:noProof/>
          <w:color w:val="FF0000"/>
          <w:lang w:eastAsia="ru-RU"/>
        </w:rPr>
        <w:lastRenderedPageBreak/>
        <w:drawing>
          <wp:inline distT="0" distB="0" distL="0" distR="0" wp14:anchorId="00150875" wp14:editId="41F22D1F">
            <wp:extent cx="5934075" cy="6838950"/>
            <wp:effectExtent l="0" t="0" r="9525" b="1905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>Исполнение по подразделам сложилось следующим образом: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0102 «Функционирование высшего должностного лица субъекта Российской Федерации и муниципального образования»</w:t>
      </w:r>
    </w:p>
    <w:p w:rsidR="0033162F" w:rsidRPr="0033162F" w:rsidRDefault="0033162F" w:rsidP="003316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По данному подразделу отражается содержание главы муниципального образования, расходы по подразделу составили 1576,2 тыс. руб. (95,0%). Расходы полностью сложились из расходов на заработную плату, начисления на оплату труда и прочих выплат. 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образований».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ab/>
        <w:t xml:space="preserve">По данному подразделу отражается содержание Михайловской городской Думы, расходы по которой составили  1889,5 тыс. рублей (98,8%). 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</w:p>
    <w:p w:rsidR="0033162F" w:rsidRPr="0033162F" w:rsidRDefault="0033162F" w:rsidP="003316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По данному подразделу расходы исполнены в сумме  49684,9 тыс. руб. (97,8 %). </w:t>
      </w:r>
    </w:p>
    <w:p w:rsidR="0033162F" w:rsidRPr="0033162F" w:rsidRDefault="0033162F" w:rsidP="003316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62F" w:rsidRPr="0033162F" w:rsidRDefault="0033162F" w:rsidP="0033162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0105 «Судебная система»</w:t>
      </w:r>
    </w:p>
    <w:p w:rsidR="0033162F" w:rsidRPr="0033162F" w:rsidRDefault="0033162F" w:rsidP="003316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По данному подразделу отражены  расходы за счет субвенции на составление (изменение) списков кандидатов в присяжные заседатели федеральных судов общей юрисдикции в РФ.  Исполнены расходы в сумме 635,6 тыс. рублей (94,7%). 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0106 «Обеспечение деятельности финансовых, налоговых и таможенных органов и органов финансового (финансового - бюджетного) надзора»</w:t>
      </w:r>
    </w:p>
    <w:p w:rsidR="0033162F" w:rsidRPr="0033162F" w:rsidRDefault="0033162F" w:rsidP="003316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ab/>
        <w:t>По данному подразделу финансируются контрольно-счетная комиссия городского округа город Михайловка и комитет по финансам администрации  городского округа.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ab/>
        <w:t>На содержание контрольно-счетной комиссии расходы составили в сумме 1651,8 тыс. руб. (99,5%).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ab/>
        <w:t xml:space="preserve">На содержание комитета по финансам администрации городского округа город Михайловка расходы составили в сумме 7709,0 тыс. руб. (94,7%). </w:t>
      </w:r>
    </w:p>
    <w:p w:rsidR="0033162F" w:rsidRPr="0033162F" w:rsidRDefault="0033162F" w:rsidP="0033162F">
      <w:pPr>
        <w:spacing w:after="0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0113 «Другие общегосударственные  вопросы»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ab/>
        <w:t>По подразделу сумма расходов, в сравнении с 2017 годом,  выросла на 11461,5 тыс. рублей, и составила 113915,5 тыс. рублей. Из них: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реализацию муниципальной программы по обновлению градостроительной документации о градостроительном планировании территорий городского округа направлено 12792,9 тыс. рублей или 95,8 % предусмотренных ассигнований, в том числе: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 предоставление </w:t>
      </w: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субсидии</w:t>
      </w:r>
      <w:proofErr w:type="gram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выполнение муниципального задания АУ «Центр градостроительства и землеустройства» в сумме 12033,3 тыс. рублей;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 предоставление целевой субсид</w:t>
      </w: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«Центр градостроительства и землеустройства» на приобретение геодезического оборудования и на финансовое обеспечение кадастровых работ по внесению сведений о границах населенных пунктов городского округа в ЕГРН в сумме 759,6 тыс. рублей;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реализацию муниципальной программы по развитию ТОС израсходовано 1309,1 тыс. рублей, или 100 % годового плана на организацию и проведение городских конкурсов «На лучшую работу председателей территориального общественного самоуправления». Сумма снизилась, в сравнении с 2017 годом, на 670,8 тыс. рублей;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на реализацию муниципальной программы по развитию муниципальной службы в городском округе израсходовано 2,5 тыс. рублей, (14,9 тыс. рублей в 2017 году) или 100 % годового плана на оплату </w:t>
      </w: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обучения муниципальных служащих по охране</w:t>
      </w:r>
      <w:proofErr w:type="gram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труда и по программе пожарно-технического минимума;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обеспечение выполнения функций отделами сельских территорий направлено 14578,1 тыс. рублей или 95,8 % предусмотренных ассигнований;</w:t>
      </w:r>
    </w:p>
    <w:p w:rsidR="0033162F" w:rsidRPr="0033162F" w:rsidRDefault="0033162F" w:rsidP="00331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обеспечение деятельности подведомственных учреждений расходы сложились в объеме 74187,0 тыс. рублей, или 95,0  % к годовому плану, в том числе на содержание:</w:t>
      </w:r>
    </w:p>
    <w:p w:rsidR="0033162F" w:rsidRPr="0033162F" w:rsidRDefault="0033162F" w:rsidP="00331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МКУ «Технический центр» в сумме 68874,4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МКУ «Центр муниципальных закупок» в сумме 4175,5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МКУ «"Центр информационно-коммуникационных технологий" в сумме 1137,1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расходам на оценку недвижимости исполнение составило 253,1 тыс. рублей, или  84,5 % годового плана;</w:t>
      </w:r>
    </w:p>
    <w:p w:rsidR="0033162F" w:rsidRPr="0033162F" w:rsidRDefault="0033162F" w:rsidP="00331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оплату жилищно-коммунальных услуг за счет средств дотации из областного бюджета в сумме 874,6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строительство нежилого здания в х. Большой Михайловского района израсходовано 757,9 тыс. рублей, или 40,1 % годового плана (техническое присоединение к сети газораспределения, электроснабжение);</w:t>
      </w:r>
      <w:proofErr w:type="gramEnd"/>
    </w:p>
    <w:p w:rsidR="0033162F" w:rsidRPr="0033162F" w:rsidRDefault="0033162F" w:rsidP="00331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выплату денежного поощрения лучшим комиссиям по делам несовершеннолетних за счет средств областного бюджета в сумме 30,0 тыс. рублей, которое направлено на улучшение материально-технической базы;</w:t>
      </w:r>
      <w:proofErr w:type="gramEnd"/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решение прочих функций, связанных с управлением, израсходовано 3165,0 тыс. рублей, что составляет 84,2 % годовых бюджетных назначений (на оплату по исполнительным листам по решениям судов, представительские расходы и содержание имущества казны);</w:t>
      </w:r>
    </w:p>
    <w:p w:rsidR="0033162F" w:rsidRPr="0033162F" w:rsidRDefault="0033162F" w:rsidP="003316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исполнение  государственных полномочий за счет средств субвенции  расходы сложились в сумме 5739,8 тыс. рублей:</w:t>
      </w:r>
    </w:p>
    <w:p w:rsidR="0033162F" w:rsidRPr="0033162F" w:rsidRDefault="0033162F" w:rsidP="003316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субвенция на государственную регистрацию актов гражданского состояния 3597,4 тыс. рублей;</w:t>
      </w:r>
    </w:p>
    <w:p w:rsidR="0033162F" w:rsidRPr="0033162F" w:rsidRDefault="0033162F" w:rsidP="003316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обеспечение деятельности территориальной административной комиссии – 666,9 тыс. руб.;</w:t>
      </w:r>
    </w:p>
    <w:p w:rsidR="0033162F" w:rsidRPr="0033162F" w:rsidRDefault="0033162F" w:rsidP="003316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обеспечение деятельности комиссии по делам несовершеннолетних и защите их прав – 895,0 тыс. рублей;</w:t>
      </w:r>
    </w:p>
    <w:p w:rsidR="0033162F" w:rsidRPr="0033162F" w:rsidRDefault="0033162F" w:rsidP="003316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обеспечение деятельности архива – 580,5 тыс. рублей</w:t>
      </w:r>
    </w:p>
    <w:p w:rsidR="0033162F" w:rsidRPr="0033162F" w:rsidRDefault="0033162F" w:rsidP="003316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приобретение автотранспортных средств за счет средств дотации из областного бюджета в сумме 1761,0 тыс. рублей; 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sz w:val="24"/>
          <w:szCs w:val="24"/>
        </w:rPr>
        <w:t>По разделу 0300 «Национальная безопасность и правоохранительная деятельность»</w:t>
      </w:r>
    </w:p>
    <w:p w:rsidR="0033162F" w:rsidRPr="0033162F" w:rsidRDefault="0033162F" w:rsidP="003316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Фактическое исполнение составило  11002,1 тыс. руб. (83,3%). </w:t>
      </w:r>
    </w:p>
    <w:p w:rsidR="0033162F" w:rsidRPr="0033162F" w:rsidRDefault="0033162F" w:rsidP="0033162F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3162F">
        <w:rPr>
          <w:rFonts w:ascii="Calibri" w:eastAsia="Calibri" w:hAnsi="Calibri" w:cs="Times New Roman"/>
          <w:noProof/>
          <w:color w:val="FF0000"/>
          <w:lang w:eastAsia="ru-RU"/>
        </w:rPr>
        <w:lastRenderedPageBreak/>
        <w:drawing>
          <wp:inline distT="0" distB="0" distL="0" distR="0" wp14:anchorId="02B9D615" wp14:editId="2E56A03F">
            <wp:extent cx="5495925" cy="3209925"/>
            <wp:effectExtent l="0" t="0" r="9525" b="9525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162F" w:rsidRPr="0033162F" w:rsidRDefault="0033162F" w:rsidP="0033162F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162F" w:rsidRPr="0033162F" w:rsidRDefault="0033162F" w:rsidP="0033162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>По данному разделу финансируются следующие подразделы: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0309 «Защита населения и территории от чрезвычайных ситуаций природного и техногенного характера, гражданская оборона»</w:t>
      </w:r>
    </w:p>
    <w:p w:rsidR="0033162F" w:rsidRPr="0033162F" w:rsidRDefault="0033162F" w:rsidP="003316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По подразделу расходы исполнены в сумме  3777,3  тыс. руб. (64,7%). В сравнении с 2017 годом, сумма расходов снизилась  на 376,2 тыс. рублей. 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мероприятия в рамках муниципальной программы </w:t>
      </w:r>
      <w:r w:rsidRPr="0033162F">
        <w:rPr>
          <w:rFonts w:ascii="Times New Roman" w:eastAsia="Calibri" w:hAnsi="Times New Roman" w:cs="Times New Roman"/>
          <w:sz w:val="24"/>
          <w:szCs w:val="24"/>
        </w:rPr>
        <w:t>Обеспечение безопасности жизнедеятельности населения городского округа город Михайловка на 2017- 2019 годы»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направлено 3622,7 тыс. рублей: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предупреждение  и ликвидацию последствий чрезвычайных ситуаций и стихийных бедствий – 3313,1 тыс. рублей, средства направлены на обустройство минерализованных полос, содержание и обслуживание специальной автомобильной техники, изготовление печатной продукции, оплату специализированной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метеоинформации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оплату работ по обсыпке дамбы р.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Кабылинка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расчистке русла балки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Ревуш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укрепление берега в х.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Ильменский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2-й, оплату вырубки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горельника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возле х.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Ильменский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оплату работ по обустройству</w:t>
      </w:r>
      <w:proofErr w:type="gram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пирсов для забора воды из естественного водоема в п. Реконструкция, х. Страхов,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.Б</w:t>
      </w:r>
      <w:proofErr w:type="gram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ольшемедведевский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х.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Маломедведевский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оплату ремонта пожарного водоема х. Рогожин ( 61,7 % утвержденного плана);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 гражданскую оборону – 309,6 тыс. рублей, в рамках данного мероприятия проведено техническое обслуживание и ремонт систем оповещения в населенных пунктах городского округа (98,1 % утвержденного плана);</w:t>
      </w:r>
    </w:p>
    <w:p w:rsidR="0033162F" w:rsidRPr="0033162F" w:rsidRDefault="0033162F" w:rsidP="003316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возмещение затрат организациям, учреждениям и индивидуальным предпринимателям, связанных с ликвидацией последствий чрезвычайной ситуации за счет средств резервного фонда администрации городского округа 154,6 тыс. рублей.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0314 «Другие вопросы в области национальной безопасности и правоохранительной деятельности»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ab/>
        <w:t>По подразделу расходы исполнены в сумме 7224,8  тыс. руб.: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3162F">
        <w:rPr>
          <w:rFonts w:ascii="Times New Roman" w:eastAsia="Calibri" w:hAnsi="Times New Roman" w:cs="Times New Roman"/>
          <w:sz w:val="24"/>
          <w:szCs w:val="24"/>
        </w:rPr>
        <w:lastRenderedPageBreak/>
        <w:t>Расходы в рамках муниципальной  программы «Обеспечение безопасности жизнедеятельности населения городского округа город Михайловка на 2017-2019 годы» составили 677,9 тыс. руб.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средства направлены на приобретение ранцевых огнетушителей, оградительной ленты, спецодежды, пожарных рукавов, знаков пожарной безопасности, техническое обслуживание систем видеонаблюдения, реконструкцию системы видеонаблюдения на пл. Конституции, (92,5% утвержденного плана).</w:t>
      </w:r>
      <w:proofErr w:type="gramEnd"/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обеспечения функционирования МКУ «Единая дежурная диспетчерская служба» профинансировано 5734,4 (5536,1 тыс. руб. в 2017 году) тыс. рублей, или 99,1 % годовых бюджетных назначений. 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обеспечение деятельности добровольной народной дружины израсходовано 812,5 тыс. рублей (729,4 тыс. рублей в 2017 году), или 95,7 % годовых бюджетных назначений.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sz w:val="24"/>
          <w:szCs w:val="24"/>
        </w:rPr>
        <w:t>По разделу 0400 «Национальная экономика»</w:t>
      </w: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исполнение плановых назначений составило 112547,4  тыс. рублей. В сравнении с 2017 годом, сумма выросла на 34177,6  тыс. рублей.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     По данному подразделу финансируются следующие подразделы:</w:t>
      </w: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0405 «Сельское хозяйство»</w:t>
      </w: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         По подразделу расходы исполнены в сумме  494,0  тыс. руб. (219,9 тыс. рублей в 2017 году):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выплату премий ко Дню передовика агропромышленного комплекса направлено  151,8 тыс. рублей (136,0 тыс. рублей в 2017 году);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исполнение передаваемых государственных полномочий по отлову и уничтожению безнадзорных животных израсходованы средства субвенции из областного бюджета в сумме 314,0 тыс. рублей  (83,9 тыс. рублей в 2017 году).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оплату расходов </w:t>
      </w: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специализированную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метеоинформацию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28,2 тыс. рублей, или 100 % годовых бюджетных назначений.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3162F" w:rsidRPr="0033162F" w:rsidRDefault="0033162F" w:rsidP="0033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0409 «Дорожное хозяйство (дорожные фонды)»</w:t>
      </w: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         По подразделу расходы исполнены в сумме 107327,1 тыс. рублей (97,8%). В сравнении с 2017 годом, произошел рост расходов на 47677,2 тыс. рублей.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Расходы на дорожное хозяйство в рамках муниципальной программы по повышению безопасности дорожного движения на территории городского округа  за    2018 год составили 107305,6 тыс. рублей, или 97,8 %  утвержденных бюджетных назначений. В том числе за счет средств дорожного фонда в сумме 90017,0 тыс. рублей, источником формирования которого явились поступления акцизов, остаток средств дорожного фонда с 2017 года и средства областного бюджета. 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Расходы на дорожное хозяйство направлены </w:t>
      </w: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-ремонт асфальтобетонного покрытия автодороги по ул. Гоголя, пер. Роскошный, ул. Свободы, ул. им. Крупской в сумме 62121,3 тыс. рублей, в том числе, за счет средств областного бюджета 51767,8 тыс. рублей;</w:t>
      </w:r>
      <w:proofErr w:type="gramEnd"/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дорог сельских территорий в сумме 1647,4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-предоставление субсидии на выполнение муниципального задания АУ «Комбинат благоустройства и озеленения» в сумме 43536,9 тыс. рублей.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финансирование муниципальной программы по развитию транспортной инфраструктуры городского округа направлено 21,5 тыс. рублей, что составляет 100,0 % утвержденного годового плана. Средства израсходованы на изготовление указательных знаков и рекламы по безопасности дорожного движения.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2F" w:rsidRPr="0033162F" w:rsidRDefault="0033162F" w:rsidP="0033162F">
      <w:pPr>
        <w:spacing w:after="0"/>
        <w:ind w:firstLine="708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33162F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  </w:t>
      </w: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0412 «Другие вопросы в области национальной экономики»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>По подразделу расходы исполнены в сумме 4726,3 тыс. рублей.  Денежные средства направлены н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а поддержку и  развитие субъектов малого и среднего предпринимательства в рамках муниципальной программы направлено 4726,3 тыс. рублей, что составляет 100,0 % утвержденного плана, в том числе за счет средств областного бюджета 4126,3 тыс. рублей.</w:t>
      </w: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sz w:val="24"/>
          <w:szCs w:val="24"/>
        </w:rPr>
        <w:t>По разделу 0500 «Жилищно-коммунальное хозяйство</w:t>
      </w:r>
      <w:r w:rsidRPr="0033162F">
        <w:rPr>
          <w:rFonts w:ascii="Times New Roman" w:eastAsia="Calibri" w:hAnsi="Times New Roman" w:cs="Times New Roman"/>
          <w:sz w:val="24"/>
          <w:szCs w:val="24"/>
        </w:rPr>
        <w:t>»  кассовые расходы составили 154866,3 тыс. рублей. Расходы выросли  в сравнении с 2017 годом на 20240,5  тыс. руб. В целом по разделу, процент выполнения плана по расходам составил 97,3 %.  Доля в общей структуре расходов составила 9,3%.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C4E68B4" wp14:editId="7713ADBC">
            <wp:extent cx="5715000" cy="4095750"/>
            <wp:effectExtent l="0" t="0" r="19050" b="19050"/>
            <wp:docPr id="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     По разделу финансируются следующие подразделы:</w:t>
      </w: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0501 «Жилищное хозяйство» 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33162F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ab/>
      </w:r>
      <w:r w:rsidRPr="0033162F">
        <w:rPr>
          <w:rFonts w:ascii="Times New Roman" w:eastAsia="Calibri" w:hAnsi="Times New Roman" w:cs="Times New Roman"/>
          <w:sz w:val="24"/>
          <w:szCs w:val="24"/>
        </w:rPr>
        <w:t>По подразделу расходы исполнены в сумме 797,9 тыс. руб., в том числе:</w:t>
      </w:r>
    </w:p>
    <w:p w:rsidR="0033162F" w:rsidRPr="0033162F" w:rsidRDefault="0033162F" w:rsidP="00331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обеспечение мероприятий по капитальному ремонту многоквартирных домов в рамках муниципальной программы – 61,9 тыс. рублей; </w:t>
      </w:r>
    </w:p>
    <w:p w:rsidR="0033162F" w:rsidRPr="0033162F" w:rsidRDefault="0033162F" w:rsidP="00331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уплату взносов на капитальный ремонт жилищного фонда – 736,0 тыс. рублей;</w:t>
      </w:r>
    </w:p>
    <w:p w:rsidR="0033162F" w:rsidRPr="0033162F" w:rsidRDefault="0033162F" w:rsidP="0033162F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ar-SA"/>
        </w:rPr>
        <w:tab/>
      </w:r>
      <w:r w:rsidRPr="003316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ar-SA"/>
        </w:rPr>
        <w:t xml:space="preserve"> </w:t>
      </w: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0502 «Коммунальное хозяйство»</w:t>
      </w: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         По подразделу расходы исполнены в сумме 41263,8 тыс. руб., в том числе: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- на финансирование муниципальной программы  </w:t>
      </w:r>
      <w:r w:rsidRPr="00331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"Развитие и модернизация объектов коммунальной инфраструктуры городского округа город Михайловка на 2017-2019 годы"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направлено 27654,6 тыс. рублей, из них: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профинансировано на увеличение уставного фонда МУП «Михайловское водопроводно-канализационное хозяйство» в сумме 3867,9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-выделена субсидия на осуществление капитальных вложений МУП «Михайловское водопроводно-канализационное хозяйство» с целью реконструкции скважины № 25 в сумме 1955,7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316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оплачены выполненные  работы по объектам: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строительство уличной сети водоснабжения в п.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Себрово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ул. </w:t>
      </w: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Академическая</w:t>
      </w:r>
      <w:proofErr w:type="gram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377,3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строительство системы водоотведения по ул. Лазурной пос. Отрадное – 250,0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строительство магистрального водовода от фильтровальной станции до ул. Столбовая-12791,0 тыс. рублей, в том числе за счет средств областного бюджета 10365,8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строительство водовода х. Глинище, х. Сухов-2 – 8412,7  тыс. рублей, в том числе за счет средств областного бюджета 7571,4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финансирование муниципальной программы по устойчивому развитию сельских территорий направлено 1077,5 тыс. рублей на оплату кредиторской задолженности за изготовление проектно-сметной документации, </w:t>
      </w:r>
      <w:proofErr w:type="spellStart"/>
      <w:r w:rsidRPr="003316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госэкспертизу</w:t>
      </w:r>
      <w:proofErr w:type="spellEnd"/>
      <w:r w:rsidRPr="003316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строительству объекта «Водовод х. Глинище, х. Сухов-2».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программных мероприятий по коммунальному хозяйству сложились расходы на оплату за техническое присоединение объектов капитального строительства к сети газораспределения в сумме 459,9 тыс. рублей.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Расходы на исполнение государственных полномочий по компенсации выпадающих доходов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ресурсоснабжающих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организаций, связанных с применением ими социальных тарифов на коммунальные услуги, поставляемые населению, за счет средств субвенции из областного бюджета составили 12071,8 тыс. рублей.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0503 «Благоустройство»</w:t>
      </w: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ab/>
        <w:t>Расходы по подразделу исполнены в сумме 102353,0 (80999,3 тыс. руб. в 2017 году) тыс. руб. в том числе:</w:t>
      </w: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- на финансирование муниципальной программы по устойчивому развитию сельских территорий направлено 2,0 тыс. рублей на устройство площадки для пляжного волейбола ТОС «</w:t>
      </w:r>
      <w:proofErr w:type="spellStart"/>
      <w:r w:rsidRPr="003316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Сидорянка</w:t>
      </w:r>
      <w:proofErr w:type="spellEnd"/>
      <w:r w:rsidRPr="003316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»;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на обеспечение деятельности подведомственного учреждения АУ «Комбинат благоустройства и  озеленения», в рамках ведомственной целевой программы  «Благоустройство территории городского округа город Михайловка на 2016-2018 годы»,  29789,6 тыс. рублей:</w:t>
      </w: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3162F">
        <w:rPr>
          <w:rFonts w:ascii="Times New Roman" w:eastAsia="Calibri" w:hAnsi="Times New Roman" w:cs="Times New Roman"/>
          <w:sz w:val="24"/>
          <w:szCs w:val="24"/>
          <w:lang w:eastAsia="ru-RU"/>
        </w:rPr>
        <w:t>- в сфере благоустройства и озеленения: валка сухих, аварийных и потерявших декоративный вид деревьев; санитарная обрезка деревьев с удалением сухих веток, сучьев; выкашивание травы, камыша; обрезка кустарников; вывоз отходов от валки, обрезки деревьев и кустарников, выкашивания травы и камыша; очистка газонов и зеленой зоны улиц от мусора; окраска столбов, вазонов; побелка деревьев;</w:t>
      </w:r>
      <w:proofErr w:type="gramEnd"/>
      <w:r w:rsidRPr="003316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техническое обслуживание фонтанов; полив, стрижка газонов; посадка цветов и т.д. на эти мероприятия направлено 14232,5 тыс. руб. </w:t>
      </w: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62F">
        <w:rPr>
          <w:rFonts w:ascii="Times New Roman" w:eastAsia="Calibri" w:hAnsi="Times New Roman" w:cs="Times New Roman"/>
          <w:sz w:val="24"/>
          <w:szCs w:val="24"/>
          <w:lang w:eastAsia="ru-RU"/>
        </w:rPr>
        <w:t>- в рамках  организации и содержания мест захоронения: работы по погрузке, транспортировке, разгрузке трупов в морге; погрузке и вывозу мусора с кладбищ и т.д. – 3853,9 тыс. руб.</w:t>
      </w: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6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 очистка территорий и автобусных остановок, урн от мусора, погрузка и вывоз мусора – 9251,9 тыс. руб.</w:t>
      </w:r>
    </w:p>
    <w:p w:rsidR="0033162F" w:rsidRPr="0033162F" w:rsidRDefault="0033162F" w:rsidP="00331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62F">
        <w:rPr>
          <w:rFonts w:ascii="Times New Roman" w:eastAsia="Calibri" w:hAnsi="Times New Roman" w:cs="Times New Roman"/>
          <w:sz w:val="24"/>
          <w:szCs w:val="24"/>
          <w:lang w:eastAsia="ru-RU"/>
        </w:rPr>
        <w:t>- расходы на содержание инспекции по благоустройству –  2451,4 тыс. руб.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финансирование муниципальной программы «Формирование современной городской среды городского округа» составило 44003,6 тыс. рублей (35167,4 тыс. рублей в 2017 году), или 100,0 % годовых бюджетных назначений, в том числе за счет средств областного бюджета 39522,6 тыс. рублей. Средства направлены </w:t>
      </w: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изготовление полиграфической продукции, дизайн проекта, подготовку проектно-сметной документации по объекту «Благоустройство общественной территории Парк «Победы» в сумме 341,3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территорий общего пользования Парка «Победы» и сквера по ул. Циолковского территория ТОС «Лидер-2» в сумме 24730,6 тыс. рублей, в том числе за счет средств областного бюджета 22257,6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благоустройство территорий общего пользования в 5-ти сельских населенных пунктах (х. Сенной, х.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Безымянка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п. Отрадное, ст.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Арчединская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Себрово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) – 16666,7 тыс. рублей, в том числе за счет средств областного бюджета 15000,0 тыс. рублей;</w:t>
      </w:r>
      <w:proofErr w:type="gramEnd"/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оплату кредиторской задолженности за выполненные в 2018 году работы по благоустройству парка по ул. Мира в х. Сухов-2 в сумме 2265,0 тыс. рублей за счет средств областного бюджета;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Непрограммные расходы составили 28557,7 тыс. рублей, в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.: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уличное освещение – 25497,2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мест захоронений – 15,0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прочие расходы благоустройства – 880,7 тыс. рублей.</w:t>
      </w:r>
    </w:p>
    <w:p w:rsidR="0033162F" w:rsidRPr="0033162F" w:rsidRDefault="0033162F" w:rsidP="0033162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субсидия на иные цели подведомственному учреждению АУ «Комбинат благоустройства и  озеленения» в сумме 2164,8 тыс. рублей.</w:t>
      </w:r>
    </w:p>
    <w:p w:rsidR="0033162F" w:rsidRPr="0033162F" w:rsidRDefault="0033162F" w:rsidP="0033162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ar-SA"/>
        </w:rPr>
        <w:tab/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ar-SA"/>
        </w:rPr>
      </w:pP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0505 « Другие вопросы в области жилищно-коммунального хозяйства»</w:t>
      </w:r>
    </w:p>
    <w:p w:rsidR="0033162F" w:rsidRPr="0033162F" w:rsidRDefault="0033162F" w:rsidP="00331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        По подразделу расходы исполнены в сумме 10451,6  (98,7%) (9903,1 тыс. рублей в 2017 году). 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реализацию муниципальной программы по содействию занятости </w:t>
      </w: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населения</w:t>
      </w:r>
      <w:proofErr w:type="gram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предусмотренные ассигнования выполнены на 98,6 % и расходы на организацию общественных работ составили  1941,0 тыс. рублей, дополнительно создано 176 рабочих мест.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на содержание МКУ ОКС составили 7822,9 тыс. рублей (7584,3 тыс. рублей в 2017 году), или 98,6 % годовых бюджетных назначений.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организацию и осуществление государственного жилищного надзора за счет средств субвенции из областного бюджета направлено 687,7 тыс. рублей.</w:t>
      </w: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ab/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ar-SA"/>
        </w:rPr>
      </w:pP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sz w:val="24"/>
          <w:szCs w:val="24"/>
        </w:rPr>
        <w:t xml:space="preserve">    По разделу 0700 «Образование» </w:t>
      </w: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расходы исполнены в сумме 942756,5 тыс. рублей, что выше, чем в 2017 году на 61730,5  тыс. рублей. Доля в общей структуре расходов составила 56,5%. </w:t>
      </w: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33162F">
        <w:rPr>
          <w:rFonts w:ascii="Calibri" w:eastAsia="Calibri" w:hAnsi="Calibri" w:cs="Times New Roman"/>
          <w:noProof/>
          <w:color w:val="1F497D" w:themeColor="text2"/>
          <w:lang w:eastAsia="ru-RU"/>
        </w:rPr>
        <w:lastRenderedPageBreak/>
        <w:drawing>
          <wp:inline distT="0" distB="0" distL="0" distR="0" wp14:anchorId="48FCF829" wp14:editId="2BC92845">
            <wp:extent cx="5495925" cy="3209925"/>
            <wp:effectExtent l="0" t="0" r="9525" b="9525"/>
            <wp:docPr id="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>По данному разделу финансируются следующие подразделы:</w:t>
      </w: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0701 «Дошкольное образование»</w:t>
      </w: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ab/>
        <w:t>По подразделу расходы исполнены в сумме 301999,0  тыс. руб. (94%). В сравнении с 2017 годом, сумма выросла на 63478,2 тыс. рублей.  Средства направлены  в том числе:</w:t>
      </w:r>
    </w:p>
    <w:p w:rsidR="0033162F" w:rsidRPr="0033162F" w:rsidRDefault="0033162F" w:rsidP="00331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мероприятий муниципальной программы </w:t>
      </w:r>
      <w:r w:rsidRPr="00331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«Пожарная безопасность в общеобразовательных  учреждениях на 2017-2019 годы»</w:t>
      </w:r>
      <w:r w:rsidRPr="003316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31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направлено 199,0 (690,0 тыс. рублей в 2017 году) тыс. рублей;</w:t>
      </w:r>
    </w:p>
    <w:p w:rsidR="0033162F" w:rsidRPr="0033162F" w:rsidRDefault="0033162F" w:rsidP="0033162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на реализацию муниципальной программы </w:t>
      </w:r>
      <w:r w:rsidRPr="00331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«Медицинское обеспечение в общеобразовательных учреждениях на 2017-2019 годы»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 136,0 тыс.  рублей (583,1 тыс. рублей в 2017 году);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на реализацию муниципальной программы </w:t>
      </w:r>
      <w:r w:rsidRPr="00331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«Совершенствование материально-технической базы образовательных учреждений на 2017-2019 годы»  израсходовано 1547,2 тыс. рублей, на приобретение и замену оконных блоков в образовательных организациях городского округа;</w:t>
      </w:r>
    </w:p>
    <w:p w:rsidR="0033162F" w:rsidRPr="0033162F" w:rsidRDefault="0033162F" w:rsidP="00331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обеспечение деятельности муниципального дошкольного учреждения «Детский сад «Лукоморье» в рамках реализации ведомственной целевой программы  «Организация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годы» направлено  260046,4 тыс. рублей (234457,5 тыс. рублей в 2017 году);</w:t>
      </w:r>
    </w:p>
    <w:p w:rsidR="0033162F" w:rsidRPr="0033162F" w:rsidRDefault="0033162F" w:rsidP="00331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 обеспечение деятельности групп дошкольного образования детей при школах направлено 40070,4 тыс. рублей, в том числе на осуществление образовательного процесса за счет субвенции из областного бюджета – 30098,6 тыс. рублей, в рамках  реализации ведомственной целевой программы «Обеспечение доступности и качества образования для населения городского округа город Михайловка на 2016-2018 годы».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2F" w:rsidRPr="0033162F" w:rsidRDefault="0033162F" w:rsidP="0033162F">
      <w:pPr>
        <w:spacing w:after="0" w:line="240" w:lineRule="auto"/>
        <w:rPr>
          <w:rFonts w:ascii="Times New Roman" w:eastAsia="Calibri" w:hAnsi="Times New Roman" w:cs="Times New Roman"/>
          <w:b/>
          <w:i/>
          <w:color w:val="1F497D" w:themeColor="text2"/>
          <w:sz w:val="24"/>
          <w:szCs w:val="24"/>
        </w:rPr>
      </w:pP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0702 «Общее образование»</w:t>
      </w: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ab/>
        <w:t>По подразделу расходы исполнены в сумме 519277,3 тыс. рублей (503989,7 тыс. руб.), в том числе:</w:t>
      </w:r>
    </w:p>
    <w:p w:rsidR="0033162F" w:rsidRPr="0033162F" w:rsidRDefault="0033162F" w:rsidP="00331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на реализацию мероприятий муниципальной программы </w:t>
      </w:r>
      <w:r w:rsidRPr="00331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«Пожарная безопасность в образовательных  учреждениях на 2017-2019 годы» израсходовано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605,9 тыс. рублей (2213,2 тыс. рублей в 2017 году);</w:t>
      </w:r>
    </w:p>
    <w:p w:rsidR="0033162F" w:rsidRPr="0033162F" w:rsidRDefault="0033162F" w:rsidP="0033162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ar-SA"/>
        </w:rPr>
        <w:t xml:space="preserve">           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</w:t>
      </w:r>
      <w:r w:rsidRPr="00331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«Медицинское обеспечение в образовательных учреждениях на 2017-2019 годы»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1116,0 тыс. рублей (1165,3 тыс. рублей в 2017 году);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 на реализацию муниципальной программы «</w:t>
      </w:r>
      <w:r w:rsidRPr="00331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Одаренные дети» на 2017-2019 годы»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145,0 тыс. рублей (197,7 тыс. рублей в 2017 году);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финансирование муниципальной программы по духовно-нравственному воспитанию детей и подростков направлено 10,0 тыс. рублей;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ar-SA"/>
        </w:rPr>
        <w:t xml:space="preserve">           -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реализацию муниципальной программы </w:t>
      </w:r>
      <w:r w:rsidRPr="00331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«Совершенствование материально-технической базы образовательных учреждений на 2017-2019 годы»  израсходовано 5897,4 тыс. рублей (7673,1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в 2017 году) в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-замена оконных блоков в  муниципальных образовательных учреждениях – 3233,8 тыс. рублей, 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-ремонт спортивного зала  МКОУ «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Етеревская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ККШИ»  - 1592,7 тыс. рублей;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-ремонт электроснабжения в МКОУ «СШ №3» и МКОУ «СШ №10» - 414, тыс. рублей;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-ремонт помещений под санитарно-гигиенические комнаты в МКОУ «Раздорская СШ» и МКОУ «Троицкая СШ» - 400,0 тыс. рублей;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приобретение спортивного инвентаря и оборудования МКОУ «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Етеревская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ККШИ» – 256,9 тыс. рублей;</w:t>
      </w:r>
    </w:p>
    <w:p w:rsidR="0033162F" w:rsidRPr="0033162F" w:rsidRDefault="0033162F" w:rsidP="003316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ar-SA"/>
        </w:rPr>
        <w:t xml:space="preserve">          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«Организация питания, отдыха и </w:t>
      </w: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оздоровления</w:t>
      </w:r>
      <w:proofErr w:type="gram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в муниципальных образовательных учреждениях городского округа город Михайловка на 2017-2019 годы» направлено 21101,4 тыс. рублей, из них на выполнение государственных полномочий за счет средств субвенции из областного бюджета – 11946,0 тыс. рублей.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на реализацию ведомственной целевой программы «Обеспечение доступности и качества образования для населения городского округа город Михайловка на 2016-2018 годы» направлено  490351,7 тыс. рублей на обеспечение деятельности муниципальных общеобразовательных учреждений.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на сопровождение программного обеспечения – 49,9 тыс. рублей;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на оплату жилищно-коммунальных услуг за счет средств дотации из областного бюджета  </w:t>
      </w: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работающим</w:t>
      </w:r>
      <w:proofErr w:type="gram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муниципальных учреждениях, расположенных на сельских территориях -7442,7 тыс. рублей;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на обеспечение государственных гарантий молодым специалистам, работающим в муниципальных учреждениях, расположенных на сельских территориях - 107,1  тыс. рублей;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2F" w:rsidRPr="0033162F" w:rsidRDefault="0033162F" w:rsidP="003316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0703 «Дополнительное образование детей»</w:t>
      </w:r>
    </w:p>
    <w:p w:rsidR="0033162F" w:rsidRPr="0033162F" w:rsidRDefault="0033162F" w:rsidP="0033162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По подразделу исполнение составило  65551,4 тыс. рублей.  Сумма расходов снизилась, в сравнении с 2017 годом, на 19429,2 тыс. рублей.  В 2018 году расходы направлены:</w:t>
      </w:r>
    </w:p>
    <w:p w:rsidR="0033162F" w:rsidRPr="0033162F" w:rsidRDefault="0033162F" w:rsidP="00331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мероприятий муниципальной программы </w:t>
      </w:r>
      <w:r w:rsidRPr="00331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«Пожарная безопасность в образовательных  учреждениях на 2017-2019 годы» израсходовано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18,0 тыс. рублей;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ar-SA"/>
        </w:rPr>
        <w:t xml:space="preserve">           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</w:t>
      </w:r>
      <w:r w:rsidRPr="00331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«Медицинское обеспечение в образовательных учреждениях на 2017-2019 годы»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83,3 тыс. рублей;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финансирование муниципальной программы по духовно-нравственному воспитанию детей и подростков направлено 4,1 тыс. рублей;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 на реализацию муниципальной программы «</w:t>
      </w:r>
      <w:r w:rsidRPr="00331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Одаренные дети» на 2017-2019 годы»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22,0 тыс. рублей (7,4 тыс. рублей в 2017 году);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- на реализацию муниципальной программы </w:t>
      </w:r>
      <w:r w:rsidRPr="00331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«Совершенствование материально-технической базы образовательных учреждений на 2017-2019 годы»  израсходовано 497,8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из них на оплату кредиторской задолженности МКУ «Спортивная школа №1» за капитальный ремонт тренажерного зала и пола инвентарной комнаты – 431,0 тыс. рублей, замена оконных блоков в образовательных организациях 66,8 тыс. рублей;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на реализацию муниципальной программы «Поддержка и развитие детского творчества в учреждениях дополнительного образования детей в сфере культуры городского округа город Михайловка на 2017-2019 годы» направлено 303,7 тыс. рублей;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на реализацию муниципальной программы </w:t>
      </w:r>
      <w:r w:rsidRPr="00331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укреплению пожарной безопасности муниципальных учреждений, находящихся в ведении отдела по культуре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израсходовано 12,6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дополнительное образование детей финансовой грамотности за счет средств субсидии из областного бюджета 140,8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реализацию ведомственной целевой программы «Обеспечение доступности и качества образования для населения городского округа город Михайловка на 2016-2018 годы» направлено 64085,1 тыс. рублей, в т. ч на обеспечение деятельности муниципальных учреждений дополнительного образования направлено 63804,4 тыс. рублей,</w:t>
      </w:r>
      <w:r w:rsidRPr="0033162F">
        <w:rPr>
          <w:rFonts w:ascii="Times New Roman" w:hAnsi="Times New Roman" w:cs="Times New Roman"/>
          <w:sz w:val="24"/>
          <w:szCs w:val="24"/>
        </w:rPr>
        <w:t xml:space="preserve"> на дополнительное образование детей финансовой грамотности за счет средств субсидии из областного бюджета 280,7 тыс. рублей,</w:t>
      </w:r>
      <w:proofErr w:type="gramEnd"/>
    </w:p>
    <w:p w:rsidR="0033162F" w:rsidRPr="0033162F" w:rsidRDefault="0033162F" w:rsidP="003316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реализацию муниципальной программы «Укрепление и развитие материально – технической базы учреждений культуры и дополнительного образования детей в сфере культуры  городского округа город Михайловка на 2018-2020 годы» направлено 176,0 тыс. рублей. Денежные средства были израсходованы на замену оконных блоков и приобретение основных средств в МБУ ДО «ДШИ № 1» и МБУ ДО «ДШИ № 2»;</w:t>
      </w:r>
    </w:p>
    <w:p w:rsidR="0033162F" w:rsidRPr="0033162F" w:rsidRDefault="0033162F" w:rsidP="003316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на реализацию муниципальной программы «Повышение безопасности и  антитеррористической защищенности в муниципальных  учреждениях в сфере спорта и молодежной политики на 2017-2019 годы» направлено 44,5 тыс. рублей (139,6 тыс. рублей в 2017 году);</w:t>
      </w:r>
    </w:p>
    <w:p w:rsidR="0033162F" w:rsidRPr="0033162F" w:rsidRDefault="0033162F" w:rsidP="003316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на реализацию муниципальной программы «Повышение безопасности и  антитеррористической защищенности в муниципальных  учреждениях сферы культуры  на 2017-2019 годы» направлено 163,5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на профессиональную подготовку, переподготовку и повышение квалификации израсходовано 195,7 тыс. рублей.</w:t>
      </w:r>
    </w:p>
    <w:p w:rsidR="0033162F" w:rsidRPr="0033162F" w:rsidRDefault="0033162F" w:rsidP="003316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реализацию муниципальной программы «Обеспечение безопасности жизнедеятельности населения городского округа город Михайловка на 2017-2019 годы» - 14,0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мероприятий муниципальной программы </w:t>
      </w:r>
      <w:r w:rsidRPr="00331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«Пожарная безопасность в образовательных  учреждениях на 2017-2019 годы» израсходовано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3,5 тыс. рублей;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на реализацию ведомственной целевой программы «Обеспечение доступности и качества образования для населения городского округа город Михайловка на 2016-2018 годы» направлено  91,4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ведомственной программы «Молодежь Михайловки» на 2016-2018 годы – 7,7 тыс. рублей; </w:t>
      </w:r>
    </w:p>
    <w:p w:rsidR="0033162F" w:rsidRPr="0033162F" w:rsidRDefault="0033162F" w:rsidP="003316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непрограммные расходы – 79,1 тыс. рублей.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2F" w:rsidRPr="0033162F" w:rsidRDefault="0033162F" w:rsidP="0033162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0707 «Молодежная политика и оздоровление детей»</w:t>
      </w: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ab/>
        <w:t xml:space="preserve">Расходы по подразделу исполнены в сумме  29849,3  тыс. руб., из них: </w:t>
      </w:r>
    </w:p>
    <w:p w:rsidR="0033162F" w:rsidRPr="0033162F" w:rsidRDefault="0033162F" w:rsidP="0033162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рамках реализации мероприятий муниципальной программы «</w:t>
      </w:r>
      <w:r w:rsidRPr="00331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Содействие занятости населения в городском округе город Михайловка на 2017-2019 годы»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трудоустройство несовершеннолетних подростков израсходовано 16,0 тыс. рублей (136,1 тыс. рублей в 2017 году);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на реализацию муниципальной программы «</w:t>
      </w:r>
      <w:r w:rsidRPr="00331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Михайловка, на 2017-2019 годы»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745,6 тыс. рублей (205,1 тыс. рублей в 2017 году);</w:t>
      </w:r>
    </w:p>
    <w:p w:rsidR="0033162F" w:rsidRPr="0033162F" w:rsidRDefault="0033162F" w:rsidP="0033162F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расходы на финансовое обеспечение мероприятий по организации отдыха и оздоровления детей в каникулярный период на базе общеобразовательных учреждений исполнены на 97,5 % и  составили 11054,2 тыс. рублей, в том числе за счет средств субсидии из областного бюджета – 7133,7 тыс. рублей в рамках реализации муниципальной программы «Организация питания, отдыха и </w:t>
      </w: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оздоровления</w:t>
      </w:r>
      <w:proofErr w:type="gram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в муниципальных образовательных учреждениях городского округа город Михайловка на 2017-2019 годы»; </w:t>
      </w:r>
    </w:p>
    <w:p w:rsidR="0033162F" w:rsidRPr="0033162F" w:rsidRDefault="0033162F" w:rsidP="0033162F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финансирование учреждений молодежной политики направлено 17913,3 тыс. рублей, или 94,3 % годового плана. </w:t>
      </w: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израсходованы на обеспечение деятельности МБУ ДОЛ «Ленинец» по организации отдыха и оздоровления детей в сумме 4873,1 тыс. рублей и МКУ "Социально-досуговый центр для подростков и молодёжи"  на организацию досуга детей, подростков и молодежи в сумме 13040,2 тыс. рублей в рамках  реализации мероприятий ведомственной целевой программы «Молодежь Михайловки» на 2016-2018 годы;</w:t>
      </w:r>
      <w:proofErr w:type="gramEnd"/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реализацию мероприятий муниципальной программы по патриотическому воспитанию населения городского округа израсходовано 11,7 тыс. рублей, или 100,0% годового плана. Средства израсходованы на изготовление баннеров по патриотическому воспитанию;</w:t>
      </w:r>
    </w:p>
    <w:p w:rsidR="0033162F" w:rsidRPr="0033162F" w:rsidRDefault="0033162F" w:rsidP="0033162F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на реализацию муниципальной программы «Повышение безопасности и  антитеррористической защищенности в образовательных учреждениях на 2017-2019 годы» направлено 4,2  тыс. рублей.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на проведение мероприятия «Школа общественной активности» израсходовано 104,3 тыс. рублей.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ar-SA"/>
        </w:rPr>
      </w:pP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0709 «Другие вопросы в области образования»</w:t>
      </w: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ab/>
        <w:t>Расходы по подразделу исполнены в сумме 25883,8 тыс. рублей (25167,1   тыс. руб. в 2017 году) на ф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инансирование централизованной бухгалтерии. </w:t>
      </w: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  <w:t xml:space="preserve">   </w:t>
      </w: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sz w:val="24"/>
          <w:szCs w:val="24"/>
        </w:rPr>
        <w:t xml:space="preserve">           По разделу 0800 «Культура, кинематография»</w:t>
      </w: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расходы исполнены на 96,2% от  утвержденных плановых назначений, или в сумме 109076,5 тыс. рублей (98331,5 тыс. руб. в 2017 году). Доля в общей структуре расходов составила 6,5%. </w:t>
      </w: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0801 «Культура»</w:t>
      </w: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 xml:space="preserve">      </w:t>
      </w:r>
      <w:r w:rsidRPr="0033162F">
        <w:rPr>
          <w:rFonts w:ascii="Times New Roman" w:eastAsia="Calibri" w:hAnsi="Times New Roman" w:cs="Times New Roman"/>
          <w:sz w:val="24"/>
          <w:szCs w:val="24"/>
        </w:rPr>
        <w:t>Расходы по подразделу исполнены в сумме  109076,5 тыс. руб., из них: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</w:t>
      </w:r>
      <w:r w:rsidRPr="00331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«Комплекс мер по  укреплению пожарной безопасности учреждений культуры и дополнительного образования детей в сфере культуры городского округа город Михайловка»  на 2017-2019 годы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бюджете городского округа на  исполнение программных мероприятий направлено 904,2 тыс. рублей (102,7 тыс. рублей в 2017 году); 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- на реализацию муниципальной программы «Формирование доступной среды жизнедеятельности для инвалидов и маломобильных групп населения в городском округе город Михайловка на 2017-2019 годы» направлено  1199,1 тыс. рублей (1335,6 тыс. рублей в 2017 году). Денежные средства израсходованы   на обустройство зданий и помещений для доступа инвалидов в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Сидорском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Доме культуры – филиал МКУ «МЦК и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Себровском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Доме культуре - филиал МБУ «ГДК»;</w:t>
      </w:r>
    </w:p>
    <w:p w:rsidR="0033162F" w:rsidRPr="0033162F" w:rsidRDefault="0033162F" w:rsidP="003316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>- расходы в рамках ВЦП «Сохранение и развитие культуры городского округа город Михайловка на 2016-2018 годы»  - 105224,6 тыс. рублей (95464,6 тыс. руб. в 2017 году).</w:t>
      </w:r>
      <w:r w:rsidRPr="0033162F">
        <w:rPr>
          <w:rFonts w:ascii="Times New Roman" w:hAnsi="Times New Roman" w:cs="Times New Roman"/>
          <w:sz w:val="24"/>
          <w:szCs w:val="24"/>
        </w:rPr>
        <w:t xml:space="preserve"> Средства направлены на обеспечение деятельности подведомственных  учреждений культуры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3162F" w:rsidRPr="0033162F" w:rsidRDefault="0033162F" w:rsidP="003316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реализацию муниципальной программы «Укрепление и развитие материально-технической базы учреждений культуры городского округа город Михайловка на 2015-2017 годы» - 1498,6 тыс. рублей. Денежные средства были израсходованы </w:t>
      </w: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-ремонт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Большовского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Сенновского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СДК;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-приобретение звукового оборудования для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Отрадненского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Етеревского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Секачевского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СДК;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-погашение кредиторской задолженности за капитальный ремонт кровли здания </w:t>
      </w:r>
      <w:proofErr w:type="spell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Большовского</w:t>
      </w:r>
      <w:proofErr w:type="spell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СДК.</w:t>
      </w:r>
    </w:p>
    <w:p w:rsidR="0033162F" w:rsidRPr="0033162F" w:rsidRDefault="0033162F" w:rsidP="003316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капитальный ремонт мемориала «Вечный огонь» направлено 150,0 тыс. рублей.</w:t>
      </w:r>
    </w:p>
    <w:p w:rsidR="0033162F" w:rsidRPr="0033162F" w:rsidRDefault="0033162F" w:rsidP="003316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выплату денежного поощрения лучшим работникам культуры 100,0 тыс. рублей за счет средств областного бюджета.</w:t>
      </w:r>
    </w:p>
    <w:p w:rsidR="0033162F" w:rsidRPr="0033162F" w:rsidRDefault="0033162F" w:rsidP="003316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ar-SA"/>
        </w:rPr>
      </w:pP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  <w:t xml:space="preserve">     </w:t>
      </w:r>
      <w:r w:rsidRPr="0033162F">
        <w:rPr>
          <w:rFonts w:ascii="Times New Roman" w:eastAsia="Calibri" w:hAnsi="Times New Roman" w:cs="Times New Roman"/>
          <w:b/>
          <w:sz w:val="24"/>
          <w:szCs w:val="24"/>
        </w:rPr>
        <w:t>По разделу 1000 «Социальная политика»</w:t>
      </w: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расходы исполнены на 98,0% от плановых назначений, или в сумме 108426,7 тыс. руб. Доля в общей структуре расходов составила 6,5%. </w:t>
      </w: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color w:val="C0504D" w:themeColor="accent2"/>
          <w:sz w:val="24"/>
          <w:szCs w:val="24"/>
        </w:rPr>
      </w:pPr>
      <w:r w:rsidRPr="0033162F">
        <w:rPr>
          <w:rFonts w:ascii="Calibri" w:eastAsia="Calibri" w:hAnsi="Calibri" w:cs="Times New Roman"/>
          <w:b/>
          <w:i/>
          <w:noProof/>
          <w:color w:val="C0504D" w:themeColor="accent2"/>
          <w:lang w:eastAsia="ru-RU"/>
        </w:rPr>
        <w:drawing>
          <wp:inline distT="0" distB="0" distL="0" distR="0" wp14:anchorId="5F1A9DB4" wp14:editId="1B20FCE7">
            <wp:extent cx="5495925" cy="3209925"/>
            <wp:effectExtent l="0" t="0" r="9525" b="9525"/>
            <wp:docPr id="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1001 «Пенсионное обеспечение»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  Расходы по подразделу исполнены в сумме 7564,5 тыс. руб., на доплаты к пенсиям  муниципальных служащих (100%).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1003 «Социальное обеспечение населения»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   Расходы по подразделу исполнены в сумме 6</w:t>
      </w:r>
      <w:r w:rsidR="005541C3">
        <w:rPr>
          <w:rFonts w:ascii="Times New Roman" w:eastAsia="Calibri" w:hAnsi="Times New Roman" w:cs="Times New Roman"/>
          <w:sz w:val="24"/>
          <w:szCs w:val="24"/>
        </w:rPr>
        <w:t>0220,9</w:t>
      </w: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тыс. рублей (9</w:t>
      </w:r>
      <w:r w:rsidR="005541C3">
        <w:rPr>
          <w:rFonts w:ascii="Times New Roman" w:eastAsia="Calibri" w:hAnsi="Times New Roman" w:cs="Times New Roman"/>
          <w:sz w:val="24"/>
          <w:szCs w:val="24"/>
        </w:rPr>
        <w:t>7,2</w:t>
      </w:r>
      <w:r w:rsidRPr="0033162F">
        <w:rPr>
          <w:rFonts w:ascii="Times New Roman" w:eastAsia="Calibri" w:hAnsi="Times New Roman" w:cs="Times New Roman"/>
          <w:sz w:val="24"/>
          <w:szCs w:val="24"/>
        </w:rPr>
        <w:t>%), в т. ч.:</w:t>
      </w:r>
    </w:p>
    <w:p w:rsidR="0033162F" w:rsidRPr="0033162F" w:rsidRDefault="0033162F" w:rsidP="0033162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реализацию муниципальной программы «Молодой семье - доступное жилье» в сумме 11489,7 тыс. рублей, в т. ч. з</w:t>
      </w:r>
      <w:r w:rsidRPr="0033162F">
        <w:rPr>
          <w:rFonts w:ascii="Times New Roman" w:hAnsi="Times New Roman" w:cs="Times New Roman"/>
          <w:sz w:val="24"/>
          <w:szCs w:val="24"/>
        </w:rPr>
        <w:t>а счет собственных доходов 2920,5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на выплаты гражданам, пострадавшим от чрезвычайной ситуации 1835,0 тыс. рублей, в том числе за счет средств областного бюджета 1750,0 тыс. рублей;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исполнение передаваемых государственных полномочий в пределах поступивших средств субвенций из областного бюджета:</w:t>
      </w:r>
    </w:p>
    <w:p w:rsidR="00132752" w:rsidRDefault="0033162F" w:rsidP="0033162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предоставлению жилищных субсидий исполнено 4</w:t>
      </w:r>
      <w:r w:rsidR="00132752">
        <w:rPr>
          <w:rFonts w:ascii="Times New Roman" w:eastAsia="Times New Roman" w:hAnsi="Times New Roman" w:cs="Times New Roman"/>
          <w:sz w:val="24"/>
          <w:szCs w:val="24"/>
          <w:lang w:eastAsia="ar-SA"/>
        </w:rPr>
        <w:t>2577,7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</w:t>
      </w:r>
    </w:p>
    <w:p w:rsidR="0033162F" w:rsidRPr="0033162F" w:rsidRDefault="0033162F" w:rsidP="0033162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оплате жилья и коммунальных услуг </w:t>
      </w: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специалистам, работающим на се</w:t>
      </w:r>
      <w:r w:rsidR="005541C3">
        <w:rPr>
          <w:rFonts w:ascii="Times New Roman" w:eastAsia="Times New Roman" w:hAnsi="Times New Roman" w:cs="Times New Roman"/>
          <w:sz w:val="24"/>
          <w:szCs w:val="24"/>
          <w:lang w:eastAsia="ar-SA"/>
        </w:rPr>
        <w:t>ле исполнено</w:t>
      </w:r>
      <w:proofErr w:type="gramEnd"/>
      <w:r w:rsidR="00554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4318,5 тыс. рублей.</w:t>
      </w:r>
    </w:p>
    <w:p w:rsidR="0033162F" w:rsidRPr="0033162F" w:rsidRDefault="0033162F" w:rsidP="001327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1004 «Охрана семьи и детства»</w:t>
      </w: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     Расходы по подразделу исполнены в сумме  32850,8 тыс. руб. (98,7%), из них:</w:t>
      </w:r>
    </w:p>
    <w:p w:rsidR="0033162F" w:rsidRPr="0033162F" w:rsidRDefault="0033162F" w:rsidP="0033162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компенсации части родительской платы за содержание ребенка в муниципальных образовательных дошкольных учреждениях исполнено 5088,8 тыс. рублей;</w:t>
      </w:r>
    </w:p>
    <w:p w:rsidR="0033162F" w:rsidRDefault="0033162F" w:rsidP="0033162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выплатам на содержание ребенка в семье опекуна и приемной семье и на вознаграждения приемным родителя</w:t>
      </w:r>
      <w:r w:rsidR="001969C3">
        <w:rPr>
          <w:rFonts w:ascii="Times New Roman" w:eastAsia="Times New Roman" w:hAnsi="Times New Roman" w:cs="Times New Roman"/>
          <w:sz w:val="24"/>
          <w:szCs w:val="24"/>
          <w:lang w:eastAsia="ar-SA"/>
        </w:rPr>
        <w:t>м исполнено 27762,0 тыс. рублей.</w:t>
      </w:r>
    </w:p>
    <w:p w:rsidR="00132752" w:rsidRDefault="00132752" w:rsidP="0033162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2752" w:rsidRDefault="00132752" w:rsidP="0013275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3275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1006 « Другие вопросы в области социальной политики»</w:t>
      </w:r>
    </w:p>
    <w:p w:rsidR="00132752" w:rsidRPr="00132752" w:rsidRDefault="00132752" w:rsidP="001327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>Расходы по подразделу исполнены в сумме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7790,5 тыс. руб.:</w:t>
      </w:r>
    </w:p>
    <w:p w:rsidR="0033162F" w:rsidRPr="0033162F" w:rsidRDefault="0033162F" w:rsidP="0033162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-по организации и осуществлению деятельности по опеке и попечительству исполнено 4498,8 тыс. рублей.</w:t>
      </w:r>
    </w:p>
    <w:p w:rsidR="00132752" w:rsidRPr="0033162F" w:rsidRDefault="00132752" w:rsidP="001327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содержание аппарата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жилищных субсидий -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3291,7 тыс. рублей.</w:t>
      </w: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sz w:val="24"/>
          <w:szCs w:val="24"/>
        </w:rPr>
        <w:t xml:space="preserve">            По разделу 1100 «Физическая культура и спорт»</w:t>
      </w: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расходы составили 46532,2 тыс. руб. и исполнены на 97,2% от плановых назначений. Доля в общей структуре расходов составила 2,8%.  По данному разделу финансируются следующие подразделы: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1101 «Физическая культура»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 xml:space="preserve">      </w:t>
      </w:r>
      <w:r w:rsidRPr="0033162F">
        <w:rPr>
          <w:rFonts w:ascii="Times New Roman" w:eastAsia="Calibri" w:hAnsi="Times New Roman" w:cs="Times New Roman"/>
          <w:sz w:val="24"/>
          <w:szCs w:val="24"/>
        </w:rPr>
        <w:t>Расходы по подразделу исполнены в сумме 22968,3 тыс. рублей, в т. ч.:</w:t>
      </w:r>
    </w:p>
    <w:p w:rsidR="0033162F" w:rsidRPr="0033162F" w:rsidRDefault="0033162F" w:rsidP="00331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 - в рамках муниципальной программы «Развитие массовой физической культуры и спорта городского округа город  Михайловка на 2017-2019 годы» расходы в сумме 22930,7 тыс. рублей  направлены на</w:t>
      </w:r>
      <w:r w:rsidRPr="0033162F">
        <w:rPr>
          <w:rFonts w:ascii="Times New Roman" w:hAnsi="Times New Roman" w:cs="Times New Roman"/>
          <w:sz w:val="24"/>
          <w:szCs w:val="24"/>
        </w:rPr>
        <w:t xml:space="preserve"> содержание спортивных школ.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реализацию мероприятий по повышению безопасности и антитеррористической защищенности – 37,6 тыс. рублей, средства израсходованы на установку и обслуживание кнопки тревожной </w:t>
      </w: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сигнализации</w:t>
      </w:r>
      <w:proofErr w:type="gramEnd"/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доукомплектование системы видеонаблюдения МКУ «Спортивная школа № 2».</w:t>
      </w:r>
    </w:p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1102 «Массовый спорт»</w:t>
      </w: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 xml:space="preserve">      </w:t>
      </w:r>
      <w:r w:rsidRPr="0033162F">
        <w:rPr>
          <w:rFonts w:ascii="Times New Roman" w:eastAsia="Calibri" w:hAnsi="Times New Roman" w:cs="Times New Roman"/>
          <w:sz w:val="24"/>
          <w:szCs w:val="24"/>
        </w:rPr>
        <w:t>Расходы по подразделу исполнены в сумме 23563,9 тыс. руб. (99,2 %).</w:t>
      </w:r>
    </w:p>
    <w:p w:rsidR="002226D5" w:rsidRDefault="002226D5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6D5" w:rsidRDefault="002226D5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6D5" w:rsidRPr="0033162F" w:rsidRDefault="002226D5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реализации мероприятий муниципальной программы «</w:t>
      </w:r>
      <w:r w:rsidRPr="003316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Содействие занятости населения в городском округе город Михайловка на 2017-2019 годы»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трудоустройство несовершеннолетних подростков израсходовано 451,4 тыс. рублей (151,6 тыс. рублей в 2017 году).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  В рамках муниципальной программы «Развитие массовой физической культуры и спорта городского округа город  Михайловка на 2017-2019 годы» расходы в сумме 22528,9 тыс. рублей  направлены </w:t>
      </w:r>
      <w:proofErr w:type="gramStart"/>
      <w:r w:rsidRPr="0033162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3162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выполнение муниципального задания АУ «Центр физической культуры и спортивный подготовки» - 17694,5 тыс. рублей. 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строительство многофункциональной площадки – 4791,8 тыс. рублей, в том числе за счет средств областного бюджета 3234,3 тыс. рублей;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проведение мероприятий и подготовку сборных команд сельских территорий в соревнованиях различного уровня – 42,6 тыс. рублей.</w:t>
      </w:r>
    </w:p>
    <w:p w:rsidR="0033162F" w:rsidRPr="0033162F" w:rsidRDefault="0033162F" w:rsidP="0033162F">
      <w:pPr>
        <w:tabs>
          <w:tab w:val="left" w:pos="147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по формированию доступной среды жизнедеятельности для инвалидов и маломобильных групп населения израсходовано 583,6 тыс. рублей, в том числе за счет средств областного бюджета 194,8 тыс. рублей. Денежные средства израсходованы   на обустройство спортивного зала и плавательного бассейна АУ «Центр физической культуры и спортивный подготовки» для доступа инвалидов.</w:t>
      </w: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 xml:space="preserve">        </w:t>
      </w:r>
      <w:r w:rsidRPr="0033162F">
        <w:rPr>
          <w:rFonts w:ascii="Times New Roman" w:eastAsia="Calibri" w:hAnsi="Times New Roman" w:cs="Times New Roman"/>
          <w:b/>
          <w:sz w:val="24"/>
          <w:szCs w:val="24"/>
        </w:rPr>
        <w:t xml:space="preserve">По разделу 1200 «Средства массовой информации» </w:t>
      </w: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кассовые расходы составили 3408,1 тыс. руб., и исполнены на 99,2 % от утвержденных плановых назначений. </w:t>
      </w: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1202 «Периодическая печать и издательства»</w:t>
      </w:r>
    </w:p>
    <w:p w:rsidR="0033162F" w:rsidRPr="0033162F" w:rsidRDefault="0033162F" w:rsidP="003316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   Расходы по подразделу исполнены в сумме 3408,1 тыс. руб. (99,2%)  на обеспечение выполнения муниципального задания общественно-политической газеты «Призыв».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3162F" w:rsidRPr="0033162F" w:rsidRDefault="0033162F" w:rsidP="003316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разделу 1300 «Обслуживание государственного и муниципального долга»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</w:t>
      </w:r>
      <w:r w:rsidRPr="00331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исполнены в сумме 5084,7 тыс. рублей. </w:t>
      </w: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1301 «</w:t>
      </w:r>
      <w:r w:rsidRPr="0033162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Обслуживание внутреннего государственного и муниципального долга</w:t>
      </w:r>
      <w:r w:rsidRPr="0033162F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33162F" w:rsidRPr="0033162F" w:rsidRDefault="0033162F" w:rsidP="0033162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   Расходы по подразделу исполнены в сумме 3170,2 тыс. руб. (99,2%) 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уплату процентов за пользование кредитом.</w:t>
      </w:r>
    </w:p>
    <w:p w:rsidR="0033162F" w:rsidRPr="0033162F" w:rsidRDefault="0033162F" w:rsidP="0033162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316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Обобщенная информация об исполнении муниципальных и ведомственных целевых программ, реализация которых осуществлялась в 2018 году</w:t>
      </w:r>
    </w:p>
    <w:p w:rsidR="0033162F" w:rsidRPr="0033162F" w:rsidRDefault="0033162F" w:rsidP="0033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162F" w:rsidRPr="0033162F" w:rsidRDefault="0033162F" w:rsidP="0033162F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16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В отчетном году реализовывалось 32 муниципальных и 5 ведомственных целевых программ, на реализацию которых, в 2018 году, направлено, из бюджета городского округа,  1318476,3 тыс. рублей.</w:t>
      </w:r>
      <w:r w:rsidRPr="0033162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3162F" w:rsidRPr="0033162F" w:rsidRDefault="0033162F" w:rsidP="0033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бюджет на 2018-2020 годы был принят с перечнем муниципальных программ с объемом ассигнований на 190857,9 тыс. рублей.  В окончательной редакции решения о бюджете плановые ассигнования на реализацию муниципальных программ составили 324888,5 тыс. руб., что на 159087,4 тыс. руб. больше первоначального показателя. В целом в 2018 году все муниципальные программы профинансированы на 310755,4 тыс. рублей.</w:t>
      </w:r>
    </w:p>
    <w:p w:rsidR="0033162F" w:rsidRPr="0033162F" w:rsidRDefault="0033162F" w:rsidP="0033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162F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Доля расходов на реализацию муниципальных программ в общих расходах городского бюджета в 2018 году составила 18,6%.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35"/>
        <w:gridCol w:w="2175"/>
        <w:gridCol w:w="1298"/>
        <w:gridCol w:w="1409"/>
        <w:gridCol w:w="1254"/>
      </w:tblGrid>
      <w:tr w:rsidR="0033162F" w:rsidRPr="0033162F" w:rsidTr="00F10E80">
        <w:trPr>
          <w:trHeight w:val="480"/>
        </w:trPr>
        <w:tc>
          <w:tcPr>
            <w:tcW w:w="1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33162F" w:rsidRPr="0033162F" w:rsidTr="00F10E80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решением </w:t>
            </w:r>
          </w:p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40 </w:t>
            </w:r>
          </w:p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25.12.2017 г.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</w:t>
            </w:r>
          </w:p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</w:t>
            </w:r>
            <w:proofErr w:type="spellEnd"/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62F" w:rsidRPr="0033162F" w:rsidTr="00F10E80">
        <w:trPr>
          <w:trHeight w:val="1287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7123,5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6431,2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4314,5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67,1</w:t>
            </w:r>
          </w:p>
        </w:tc>
      </w:tr>
      <w:tr w:rsidR="0033162F" w:rsidRPr="0033162F" w:rsidTr="00F10E80">
        <w:trPr>
          <w:trHeight w:val="1287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городском округе город Михайловка на 2017-2019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33162F" w:rsidRPr="0033162F" w:rsidTr="00F10E80">
        <w:trPr>
          <w:trHeight w:val="119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45980,0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109746,3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107305,7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97,8</w:t>
            </w:r>
          </w:p>
        </w:tc>
      </w:tr>
      <w:tr w:rsidR="0033162F" w:rsidRPr="0033162F" w:rsidTr="00F10E80">
        <w:trPr>
          <w:trHeight w:val="1252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 программа "Проведение капитального ремонта муниципального жилого фонда на территории городского округа город Михайловка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33162F" w:rsidRPr="0033162F" w:rsidTr="00F10E80">
        <w:trPr>
          <w:trHeight w:val="1128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16797,5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3162F" w:rsidRPr="0033162F" w:rsidTr="00F10E80">
        <w:trPr>
          <w:trHeight w:val="988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"Содействие занятости населения в городском округе город Михайловка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1651,6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2437,3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2408,3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33162F" w:rsidRPr="0033162F" w:rsidTr="00F10E80">
        <w:trPr>
          <w:trHeight w:val="1128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в образовательных учреждениях"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3292,4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2060,1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40,1</w:t>
            </w:r>
          </w:p>
        </w:tc>
      </w:tr>
      <w:tr w:rsidR="0033162F" w:rsidRPr="0033162F" w:rsidTr="00F10E80">
        <w:trPr>
          <w:trHeight w:val="830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"Медицинское обеспечение в образовательных учреждениях" на 2017-2019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3056,4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1335,2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43,7</w:t>
            </w:r>
          </w:p>
        </w:tc>
      </w:tr>
      <w:tr w:rsidR="0033162F" w:rsidRPr="0033162F" w:rsidTr="00F10E80">
        <w:trPr>
          <w:trHeight w:val="830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 «Повышение безопасности и антитеррористической защищенности в муниципальных учреждениях в сфере спорта и молодежной политики на 2017-2019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61,4</w:t>
            </w:r>
          </w:p>
        </w:tc>
      </w:tr>
      <w:tr w:rsidR="0033162F" w:rsidRPr="0033162F" w:rsidTr="00F10E80">
        <w:trPr>
          <w:trHeight w:val="834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88,5</w:t>
            </w:r>
          </w:p>
        </w:tc>
      </w:tr>
      <w:tr w:rsidR="0033162F" w:rsidRPr="0033162F" w:rsidTr="00F10E80">
        <w:trPr>
          <w:trHeight w:val="858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2017-2019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7958,3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7942,4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33162F" w:rsidRPr="0033162F" w:rsidTr="00F10E80">
        <w:trPr>
          <w:trHeight w:val="1551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 молодежной политике администрации городского округа город Михайловка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470,4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745,6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87,4</w:t>
            </w:r>
          </w:p>
        </w:tc>
      </w:tr>
      <w:tr w:rsidR="0033162F" w:rsidRPr="0033162F" w:rsidTr="00F10E80">
        <w:trPr>
          <w:trHeight w:val="1120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оздоровления</w:t>
            </w:r>
            <w:proofErr w:type="gramEnd"/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обучающихся городского округа город Михайловка" на 2017-2019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28102,7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34078,3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32155,7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94,4</w:t>
            </w:r>
          </w:p>
        </w:tc>
      </w:tr>
      <w:tr w:rsidR="0033162F" w:rsidRPr="0033162F" w:rsidTr="00F10E80">
        <w:trPr>
          <w:trHeight w:val="1122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1965,9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1122,3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81,7</w:t>
            </w:r>
          </w:p>
        </w:tc>
      </w:tr>
      <w:tr w:rsidR="0033162F" w:rsidRPr="0033162F" w:rsidTr="00F10E80">
        <w:trPr>
          <w:trHeight w:val="839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"Молодой семье - доступное жилье в городском округе город Михайловка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2333,8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11494,6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11489,7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33162F" w:rsidRPr="0033162F" w:rsidTr="00F10E80">
        <w:trPr>
          <w:trHeight w:val="850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массовой  физической культуры и спорта на территории городского округа город Михайловка на 2017-2019 годы"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46822,7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46753,5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45459,6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97,2</w:t>
            </w:r>
          </w:p>
        </w:tc>
      </w:tr>
      <w:tr w:rsidR="0033162F" w:rsidRPr="0033162F" w:rsidTr="00F10E80">
        <w:trPr>
          <w:trHeight w:val="850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на 2017-2019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303,7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33162F" w:rsidRPr="0033162F" w:rsidTr="00F10E80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 программа                                     "Энергосбережение и повышение </w:t>
            </w:r>
            <w:proofErr w:type="spellStart"/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городского округа город Михайловка на период до 2023 года"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20130,3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3162F" w:rsidRPr="0033162F" w:rsidTr="00F10E80">
        <w:trPr>
          <w:trHeight w:val="699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«Формирование доступной среды жизнедеятельности для инвалидов и маломобильных групп населения в городском округе город Михайловка на 2017-2019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1782,7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1782,7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33162F" w:rsidRPr="0033162F" w:rsidTr="00F10E80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«Развитие и поддержка малого и среднего предпринимательства городского округа город Михайловка на 2017-2019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4726,3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4726,3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33162F" w:rsidRPr="0033162F" w:rsidTr="00F10E80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«Укрепление и развитие материально-технической базы учреждений культуры и дополнительного образования детей в сфере культуры  городского округа город Михайловка на 2018-2020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1674,6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93,0</w:t>
            </w:r>
          </w:p>
        </w:tc>
      </w:tr>
      <w:tr w:rsidR="0033162F" w:rsidRPr="0033162F" w:rsidTr="00F10E80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«Развитие территориального общественного самоуправления на территории городского округа город Михайловка на 2017-2019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1309,1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1309,1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33162F" w:rsidRPr="0033162F" w:rsidTr="00F10E80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«Развитие транспортной инфраструктуры городского округа город Михайловка Волгоградской области на 2017-2026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33162F" w:rsidRPr="0033162F" w:rsidTr="00F10E80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городского округа город Михайловка Волгоградской области на 2017 год»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44003,8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44003,6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33162F" w:rsidRPr="0033162F" w:rsidTr="00F10E80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1119,5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1079,5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96,4</w:t>
            </w:r>
          </w:p>
        </w:tc>
      </w:tr>
      <w:tr w:rsidR="0033162F" w:rsidRPr="0033162F" w:rsidTr="00F10E80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«Формирование здорового образа жизни </w:t>
            </w:r>
            <w:proofErr w:type="gramStart"/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городском округе город Михайловка на 2017-2019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3162F" w:rsidRPr="0033162F" w:rsidTr="00F10E80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«Духовно-нравственное воспитание детей и подростков городского округа город Михайловка на 2017-2019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65,9</w:t>
            </w:r>
          </w:p>
        </w:tc>
      </w:tr>
      <w:tr w:rsidR="0033162F" w:rsidRPr="0033162F" w:rsidTr="00F10E80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«Патриотическое воспитание населения городского округа город Михайловка Волгоградской области на 2016-2018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33162F" w:rsidRPr="0033162F" w:rsidTr="00F10E80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«Чистое слово» на 2017-2019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3162F" w:rsidRPr="0033162F" w:rsidTr="00F10E80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Повышение безопасности и антитеррористической защищенности в учреждениях культуры городского округа город Михайловка Волгоградской области» на 2017-2019 годы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33162F" w:rsidRPr="0033162F" w:rsidTr="00F10E80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на 2017-2019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3162F" w:rsidRPr="0033162F" w:rsidTr="00F10E80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«Развитие и модернизация объектов коммунальной инфраструктуры городского округа город Михайловка на 2017-2019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29861,9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27654,6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92,6</w:t>
            </w:r>
          </w:p>
        </w:tc>
      </w:tr>
      <w:tr w:rsidR="0033162F" w:rsidRPr="0033162F" w:rsidTr="00F10E80">
        <w:trPr>
          <w:trHeight w:val="976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«Обновление градостроительной документации о градостроительном планировании территорий городского округа город Михайловка на 2017-2019 годы»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13347,6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12792,9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95,8</w:t>
            </w:r>
          </w:p>
        </w:tc>
      </w:tr>
      <w:tr w:rsidR="0033162F" w:rsidRPr="0033162F" w:rsidTr="00F10E80">
        <w:trPr>
          <w:trHeight w:val="420"/>
        </w:trPr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190857,9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324888,5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310755,4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95,6</w:t>
            </w:r>
          </w:p>
        </w:tc>
      </w:tr>
    </w:tbl>
    <w:p w:rsidR="0033162F" w:rsidRPr="0033162F" w:rsidRDefault="0033162F" w:rsidP="0033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0"/>
          <w:lang w:eastAsia="ru-RU"/>
        </w:rPr>
      </w:pP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0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0"/>
        <w:gridCol w:w="1277"/>
        <w:gridCol w:w="1316"/>
        <w:gridCol w:w="1056"/>
        <w:gridCol w:w="1056"/>
      </w:tblGrid>
      <w:tr w:rsidR="0033162F" w:rsidRPr="0033162F" w:rsidTr="00F10E80">
        <w:trPr>
          <w:trHeight w:val="466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ведомственной целевой программы </w:t>
            </w:r>
          </w:p>
        </w:tc>
        <w:tc>
          <w:tcPr>
            <w:tcW w:w="1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proofErr w:type="spellEnd"/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3162F" w:rsidRPr="0033162F" w:rsidTr="00F10E80">
        <w:trPr>
          <w:trHeight w:val="914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№ 40 от 25.12.2017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</w:t>
            </w:r>
            <w:proofErr w:type="spellEnd"/>
            <w:r w:rsidRPr="0033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62F" w:rsidRPr="0033162F" w:rsidTr="00F10E80">
        <w:trPr>
          <w:trHeight w:val="829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26910,9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30959,2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29789,6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96,2</w:t>
            </w:r>
          </w:p>
        </w:tc>
      </w:tr>
      <w:tr w:rsidR="0033162F" w:rsidRPr="0033162F" w:rsidTr="00F10E80">
        <w:trPr>
          <w:trHeight w:val="1265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255022,6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274491,8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260187,2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94,8</w:t>
            </w:r>
          </w:p>
        </w:tc>
      </w:tr>
      <w:tr w:rsidR="0033162F" w:rsidRPr="0033162F" w:rsidTr="00F10E80">
        <w:trPr>
          <w:trHeight w:val="1127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522098,7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620262,7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594598,6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95,8</w:t>
            </w:r>
          </w:p>
        </w:tc>
      </w:tr>
      <w:tr w:rsidR="0033162F" w:rsidRPr="0033162F" w:rsidTr="00F10E80">
        <w:trPr>
          <w:trHeight w:val="534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16555,3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18998,8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17920,9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94,3</w:t>
            </w:r>
          </w:p>
        </w:tc>
      </w:tr>
      <w:tr w:rsidR="0033162F" w:rsidRPr="0033162F" w:rsidTr="00F10E80">
        <w:trPr>
          <w:trHeight w:val="853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целевая программа "Сохранение и развитие культуры городского округа город Михайловка" на 2016-2018 годы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95432,5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109180,8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105224,6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96,4</w:t>
            </w:r>
          </w:p>
        </w:tc>
      </w:tr>
      <w:tr w:rsidR="0033162F" w:rsidRPr="0033162F" w:rsidTr="00F10E80">
        <w:trPr>
          <w:trHeight w:val="406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916020,0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1053893,3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1007720,9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2F" w:rsidRPr="0033162F" w:rsidRDefault="0033162F" w:rsidP="00331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6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95,6</w:t>
            </w:r>
          </w:p>
        </w:tc>
      </w:tr>
    </w:tbl>
    <w:p w:rsidR="0033162F" w:rsidRPr="0033162F" w:rsidRDefault="0033162F" w:rsidP="0033162F">
      <w:pPr>
        <w:spacing w:after="0"/>
        <w:rPr>
          <w:rFonts w:ascii="Times New Roman" w:eastAsia="Calibri" w:hAnsi="Times New Roman" w:cs="Calibri"/>
          <w:b/>
          <w:color w:val="C0504D" w:themeColor="accent2"/>
          <w:sz w:val="24"/>
          <w:szCs w:val="24"/>
          <w:lang w:eastAsia="ar-SA"/>
        </w:rPr>
      </w:pPr>
    </w:p>
    <w:p w:rsidR="0033162F" w:rsidRPr="0033162F" w:rsidRDefault="0033162F" w:rsidP="0033162F">
      <w:pPr>
        <w:spacing w:after="0"/>
        <w:rPr>
          <w:rFonts w:ascii="Times New Roman" w:eastAsia="Calibri" w:hAnsi="Times New Roman" w:cs="Calibri"/>
          <w:b/>
          <w:color w:val="C0504D" w:themeColor="accent2"/>
          <w:sz w:val="24"/>
          <w:szCs w:val="24"/>
          <w:lang w:eastAsia="ar-SA"/>
        </w:rPr>
      </w:pP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Calibri"/>
          <w:b/>
          <w:color w:val="C0504D" w:themeColor="accent2"/>
          <w:sz w:val="24"/>
          <w:szCs w:val="24"/>
          <w:lang w:eastAsia="ar-SA"/>
        </w:rPr>
      </w:pP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b/>
          <w:sz w:val="24"/>
          <w:szCs w:val="24"/>
          <w:lang w:eastAsia="ar-SA"/>
        </w:rPr>
        <w:t>Исполнение судебных решений по взысканиям к бюджету</w:t>
      </w:r>
    </w:p>
    <w:p w:rsidR="0033162F" w:rsidRPr="0033162F" w:rsidRDefault="0033162F" w:rsidP="0033162F">
      <w:pPr>
        <w:spacing w:after="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074"/>
        <w:gridCol w:w="1749"/>
        <w:gridCol w:w="1190"/>
        <w:gridCol w:w="1366"/>
        <w:gridCol w:w="1760"/>
        <w:gridCol w:w="947"/>
        <w:gridCol w:w="1027"/>
      </w:tblGrid>
      <w:tr w:rsidR="0033162F" w:rsidRPr="0033162F" w:rsidTr="00F10E80">
        <w:trPr>
          <w:trHeight w:val="11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3316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№, дата дела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организации, Ф.И.О. взыскателя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испол</w:t>
            </w:r>
            <w:proofErr w:type="spellEnd"/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. листа, дата поступления в комитет по финансам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Пени, недоимка, оплата услуг представителя, проценты, убытки, и др., руб.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Гос. пошлина</w:t>
            </w:r>
            <w:proofErr w:type="gramEnd"/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Номер, дата пл. поручения</w:t>
            </w:r>
          </w:p>
        </w:tc>
      </w:tr>
      <w:tr w:rsidR="0033162F" w:rsidRPr="0033162F" w:rsidTr="00F10E80">
        <w:trPr>
          <w:trHeight w:val="11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А12-5673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2017 от 10.04.2018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Мельникова Светлана Евгеньевна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ФС 023573136, 07.08.2018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Арбитражный суд Волгоградской области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Оплата юридических услуг 81839,0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27192 от 12.09.2018 на сумму 81839,0 руб.</w:t>
            </w:r>
          </w:p>
        </w:tc>
      </w:tr>
      <w:tr w:rsidR="0033162F" w:rsidRPr="0033162F" w:rsidTr="00F10E80">
        <w:trPr>
          <w:trHeight w:val="11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А12-42211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2017 от 28.06.2018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Мельникова Светлана Евгеньевна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ФС 023581259 17.08.2018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Арбитражный суд Волгоградской области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Оплата услуг представителя 25000,0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27193 от 12.09.2018 на сумму 25000,0 руб.</w:t>
            </w:r>
          </w:p>
        </w:tc>
      </w:tr>
      <w:tr w:rsidR="0033162F" w:rsidRPr="0033162F" w:rsidTr="00F10E80">
        <w:trPr>
          <w:trHeight w:val="11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13-268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2018 от 04.10.2018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Чистякова Людмила Семеновна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ФС 027907373 21.10.2018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Михайловский районный суд Волгоградской области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Оплата услуг представителя 20000,0, землеустроительная экспертиза 50000,0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40902 от 28.12.2018 на сумму 70300,0 руб.</w:t>
            </w:r>
          </w:p>
        </w:tc>
      </w:tr>
      <w:tr w:rsidR="0033162F" w:rsidRPr="0033162F" w:rsidTr="00F10E80">
        <w:trPr>
          <w:trHeight w:val="11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2-12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2018 от 19.07.2018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ООО Бюро оценки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ФС 027906865 03.09.2018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Михайловский районный суд Волгоградской области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экспертизы 21984,0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33144 от 09.11.2018 на сумму 21984,0 руб.</w:t>
            </w:r>
          </w:p>
        </w:tc>
      </w:tr>
      <w:tr w:rsidR="0033162F" w:rsidRPr="0033162F" w:rsidTr="00F10E80">
        <w:trPr>
          <w:trHeight w:val="11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2-12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2018 от 19.07.2018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Штурмак</w:t>
            </w:r>
            <w:proofErr w:type="spellEnd"/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ФС 027906864 06.09.2018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Михайловский районный суд Волгоградской области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Материальный ущерб 66684,0, почтовые расходы 191,37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1993,17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33145 от 09.11.2018 на сумму 68868,54 руб.</w:t>
            </w:r>
          </w:p>
        </w:tc>
      </w:tr>
      <w:tr w:rsidR="0033162F" w:rsidRPr="0033162F" w:rsidTr="00F10E80">
        <w:trPr>
          <w:trHeight w:val="11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№2-1005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2017 от 04.12.2017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Гречишникова</w:t>
            </w:r>
            <w:proofErr w:type="spellEnd"/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ФС 022915177 16.01.2018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Михайловский районный суд Волгоградской области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Судебные расходы 25000,0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1320 от 19.01.2018 на сумму 25000,0 руб. </w:t>
            </w:r>
          </w:p>
        </w:tc>
      </w:tr>
      <w:tr w:rsidR="0033162F" w:rsidRPr="0033162F" w:rsidTr="00F10E80">
        <w:trPr>
          <w:trHeight w:val="11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2-34-888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2018 от 29.05.2018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Москаленко Геннадий Николаевич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ВС 082676686 09.07.2018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Мировой судья судебного участка № 33 </w:t>
            </w:r>
            <w:proofErr w:type="spellStart"/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и.о</w:t>
            </w:r>
            <w:proofErr w:type="spellEnd"/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. мирового судьи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Материальный вред 17381,0, экспертиза 3000,0, диагностика 300,0, нотариальная доверенность 1500,0, услуги представителя 3000,0,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695,24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23284 от 10.08.2018 на сумму 25876,24 руб.</w:t>
            </w:r>
          </w:p>
        </w:tc>
      </w:tr>
      <w:tr w:rsidR="0033162F" w:rsidRPr="0033162F" w:rsidTr="00F10E80">
        <w:trPr>
          <w:trHeight w:val="11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2-792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2018 от 16.08.2018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Полосухин</w:t>
            </w:r>
            <w:proofErr w:type="spellEnd"/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Дмитрий Олегович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ФС 027907242 30.11.2018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Михайловский районный суд Волгоградской области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Материальный вред 30600,0, судебные расходы 6000,0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1118,0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40903 от 28.12.2018 на сумму 37718,0</w:t>
            </w:r>
          </w:p>
        </w:tc>
      </w:tr>
      <w:tr w:rsidR="0033162F" w:rsidRPr="0033162F" w:rsidTr="00F10E80">
        <w:trPr>
          <w:trHeight w:val="11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2-2059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2016 от 25.06.2018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ООО Ирбис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ФС 021534468 22.11.2018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Михайловский районный суд Волгоградской области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Судебная экспертиза 60000,0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33146 от 09.11.2018 на сумму 60000,0 руб.</w:t>
            </w:r>
          </w:p>
        </w:tc>
      </w:tr>
      <w:tr w:rsidR="0033162F" w:rsidRPr="0033162F" w:rsidTr="00F10E80">
        <w:trPr>
          <w:trHeight w:val="11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2-1005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2017 от 05.02.2018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Гречишникова</w:t>
            </w:r>
            <w:proofErr w:type="spellEnd"/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ФС 021534737 13.04.2018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Михайловский районный суд Волгоградской области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Судебные расходы 5000,0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14606 от 30.05.2018 на сумму 5000,0 руб.</w:t>
            </w:r>
          </w:p>
        </w:tc>
      </w:tr>
      <w:tr w:rsidR="0033162F" w:rsidRPr="0033162F" w:rsidTr="00F10E80">
        <w:trPr>
          <w:trHeight w:val="11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2-40-956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2017 от 15.01.2018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Титаренко Евгений Борисович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ВС 076510297 09.04.2018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Мировой судья судебного участка № 40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Излишне перечисленный арендный платеж 16199,73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12035 от 07.05.2018 на сумму 16199,73 руб.</w:t>
            </w:r>
          </w:p>
        </w:tc>
      </w:tr>
      <w:tr w:rsidR="0033162F" w:rsidRPr="0033162F" w:rsidTr="00F10E80">
        <w:trPr>
          <w:trHeight w:val="11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А12-28095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2017 от 27.12.2018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Сарстройниипроект</w:t>
            </w:r>
            <w:proofErr w:type="spellEnd"/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ФС 0204233222</w:t>
            </w:r>
          </w:p>
          <w:p w:rsidR="0033162F" w:rsidRPr="0033162F" w:rsidRDefault="0033162F" w:rsidP="003316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Арбитражный суд Волгоградской области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Судебные расходы 16973,20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13877 от 22.05.2018 на сумму 16973,20</w:t>
            </w:r>
          </w:p>
        </w:tc>
      </w:tr>
      <w:tr w:rsidR="0033162F" w:rsidRPr="0033162F" w:rsidTr="00F10E80">
        <w:trPr>
          <w:trHeight w:val="11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А12-46835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2017 от 12.02.2018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ПАО МРСК Юга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ФС 020428165 05.04.2018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Арбитражный суд Волгоградской области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Пени 6068,84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5830,0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13879 от 22.05.2018 на сумму 11898,84 руб.</w:t>
            </w:r>
          </w:p>
        </w:tc>
      </w:tr>
      <w:tr w:rsidR="0033162F" w:rsidRPr="0033162F" w:rsidTr="00F10E80">
        <w:trPr>
          <w:trHeight w:val="11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№2-486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2017 от 01.11.2017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Желваков Юрий Сергеевич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ФС 022915058 18.01.2018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Михайловский районный суд Волгоградской области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Оплата услуг представителя 7000,0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8917 от 10.04.2018 на сумму 7000,0 рублей.</w:t>
            </w:r>
          </w:p>
        </w:tc>
      </w:tr>
      <w:tr w:rsidR="0033162F" w:rsidRPr="0033162F" w:rsidTr="00F10E80">
        <w:trPr>
          <w:trHeight w:val="11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2-1673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2017 от 02.11.2017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Синенко Валентина Петровна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ФС 022915176 10.01.2018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Михайловский районный суд Волгоградской области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ремонта 149116, экспертные услуги 8000, диагностические работы 1256,6, почтовые расходы 461, услуги представителя 10000,0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4182,32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F" w:rsidRPr="0033162F" w:rsidRDefault="0033162F" w:rsidP="003316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62F">
              <w:rPr>
                <w:rFonts w:ascii="Times New Roman" w:eastAsia="Calibri" w:hAnsi="Times New Roman" w:cs="Times New Roman"/>
                <w:sz w:val="18"/>
                <w:szCs w:val="18"/>
              </w:rPr>
              <w:t>№ 845 от 18.01.2018 на сумму 173015,92 руб.</w:t>
            </w:r>
          </w:p>
        </w:tc>
      </w:tr>
    </w:tbl>
    <w:p w:rsidR="0033162F" w:rsidRPr="0033162F" w:rsidRDefault="0033162F" w:rsidP="0033162F">
      <w:pPr>
        <w:spacing w:after="0"/>
        <w:jc w:val="both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принципом иммунитета бюджета, закрепленным пунктом 1 статьи 239 Бюджетного кодекса РФ, последний представляет собой правовой режим, при котором обращение взыскания на средства бюджетов бюджетной системы РФ осуществляется только на основании судебного акта.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пунктом 1 статьи 242.1 БК РФ исполнение судебных актов по обращению взыскания на средства бюджетов бюджетной системы РФ производится на основании исполнительных документов с указанием сумм, подлежащих взысканию.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2018 году обращено взыскание на средства бюджета городского округа  в сумме</w:t>
      </w:r>
      <w:r w:rsidR="007C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896,2 тыс. рублей, в т. ч. по исполнительным листам -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646673,47 рублей. </w:t>
      </w: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государственная пошлина -  14118,73 руб., оплата юридических услуг, услуг представителя в суде – 193812,2 рублей, пени в сумме 6068,84 руб., оплата расходов на экспертизу, оценку 150540,6 руб., материальный ущерб – 263781,0 руб., другие расходы – 16199,73 руб., нотариальные, почтовые расходы – 2152,37 рублей</w:t>
      </w:r>
      <w:r w:rsidRPr="003316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  <w:r w:rsidRPr="003316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указанные средства  (646673,47 руб.) относятся к неэффективным расходам бюджета городского округа город Михайловка, поскольку не направлены на решение вопросов местного значения.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10E80" w:rsidRPr="0033162F" w:rsidRDefault="0033162F" w:rsidP="00F10E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162F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 xml:space="preserve">       </w:t>
      </w:r>
      <w:r w:rsidR="00F10E80"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F10E80" w:rsidRPr="0033162F" w:rsidRDefault="00F10E80" w:rsidP="00F10E80">
      <w:pPr>
        <w:autoSpaceDE w:val="0"/>
        <w:spacing w:after="0" w:line="240" w:lineRule="auto"/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b/>
          <w:color w:val="000000" w:themeColor="text1"/>
          <w:sz w:val="24"/>
          <w:szCs w:val="24"/>
          <w:lang w:eastAsia="ar-SA"/>
        </w:rPr>
        <w:t>Выводы:</w:t>
      </w:r>
    </w:p>
    <w:p w:rsidR="00F10E80" w:rsidRPr="0033162F" w:rsidRDefault="00F10E80" w:rsidP="00F10E80">
      <w:pPr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В соответствии со ст.264.4 БК РФ и п.3 ст. 52  положения о бюджетном процессе, отчет об исполнении бюджета городского округа город Михайловка за 2018 год представлен Администрацией в Михайловскую городскую Думу  в установленный срок 28.03.2018 года.</w:t>
      </w:r>
    </w:p>
    <w:p w:rsidR="00F10E80" w:rsidRPr="0033162F" w:rsidRDefault="00F10E80" w:rsidP="00F10E80">
      <w:pPr>
        <w:autoSpaceDE w:val="0"/>
        <w:spacing w:after="0" w:line="240" w:lineRule="auto"/>
        <w:jc w:val="both"/>
        <w:rPr>
          <w:rFonts w:ascii="Times New Roman" w:eastAsia="Calibri" w:hAnsi="Times New Roman" w:cs="Calibri"/>
          <w:b/>
          <w:iCs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b/>
          <w:iCs/>
          <w:color w:val="000000" w:themeColor="text1"/>
          <w:sz w:val="24"/>
          <w:szCs w:val="24"/>
          <w:lang w:eastAsia="ar-SA"/>
        </w:rPr>
        <w:t xml:space="preserve">       Анализ соблюдения бюджетного законодательства при организации исполнения бюджета городского округа город Михайловка в 2018 году установил, что система исполнения бюджета городского округа соответствует требованиям действующего законодательства. Годовой отчет об исполнении бюджета за 2018 год по составу и предоставлению соответствует установленным требованиям.</w:t>
      </w:r>
    </w:p>
    <w:p w:rsidR="00F10E80" w:rsidRPr="0033162F" w:rsidRDefault="00F10E80" w:rsidP="00F10E80">
      <w:pPr>
        <w:tabs>
          <w:tab w:val="left" w:pos="36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       </w:t>
      </w:r>
      <w:r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Ежеквартальные сведения о ходе исполнения местного  бюджета и о численности муниципальных служащих, работниках муниципальных учреждений с указанием фактических затрат на их денежное содержание опубликованы в газете «Призыв»   от 30.04.2018 г., «Призыв» № 61(17540) от 31.07.2018 г., «Призыв» № 87(17566) от 30.10.2018 г.</w:t>
      </w:r>
    </w:p>
    <w:p w:rsidR="00F10E80" w:rsidRPr="0033162F" w:rsidRDefault="00F10E80" w:rsidP="00F10E80">
      <w:pPr>
        <w:autoSpaceDE w:val="0"/>
        <w:spacing w:after="0" w:line="240" w:lineRule="auto"/>
        <w:jc w:val="both"/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 xml:space="preserve">        По доходам бюджет городского округа исполнен в 2018 году в сумме </w:t>
      </w:r>
      <w:r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1644809,0</w:t>
      </w:r>
      <w:r w:rsidRPr="0033162F">
        <w:rPr>
          <w:rFonts w:ascii="Times New Roman" w:eastAsia="Calibri" w:hAnsi="Times New Roman" w:cs="Calibri"/>
          <w:iCs/>
          <w:color w:val="000000" w:themeColor="text1"/>
          <w:sz w:val="24"/>
          <w:szCs w:val="24"/>
          <w:lang w:eastAsia="ar-SA"/>
        </w:rPr>
        <w:t xml:space="preserve">  тыс. руб., (т.е. бюджетные назначения выполнены на 99,5 % от плана). По отношению к уровню 2017 года доходы бюджета увеличились  на 154478,7 тыс. руб. </w:t>
      </w:r>
      <w:r w:rsidRPr="003316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 общей  сумме поступивших доходов доля налоговых и неналоговых платежей составляет  48,5%, безвозмездных поступлений – 51,5%, в предыдущем году данное соотношение составляло   51,9% и 48,1 % , в 2016 году 52,7 % и 47,3%  соответственно.</w:t>
      </w:r>
    </w:p>
    <w:p w:rsidR="00F10E80" w:rsidRPr="0033162F" w:rsidRDefault="00F10E80" w:rsidP="00F10E80">
      <w:pPr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lastRenderedPageBreak/>
        <w:t xml:space="preserve">        Решением Думы на 2018 год утвержден бездефицитный бюджет. </w:t>
      </w:r>
      <w:proofErr w:type="gramStart"/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Фактически  бюджет городского округа за 2018 год исполнен с дефицитом  в сумме 23814,0 тыс. руб. Источниками финансирования дефицита бюджета явилось изменение остатков средств на счетах по учету средств бюджета городского округа в течение соответствующего финансового года в сумме 473,2  тыс. руб.. привлеченный кредит от кредитной организации в сумме 55000,0 тыс. руб., направленный на погашение кредита кредитной организации.            </w:t>
      </w:r>
      <w:proofErr w:type="gramEnd"/>
    </w:p>
    <w:p w:rsidR="00F10E80" w:rsidRPr="0033162F" w:rsidRDefault="00F10E80" w:rsidP="00F10E8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На формирование резервного фонда в бюджете городского округа город Михайловка на 2018 год  первоначально предусматривались средства в сумме 500,0 тыс. рублей</w:t>
      </w:r>
      <w:r w:rsidRPr="0033162F">
        <w:rPr>
          <w:rFonts w:ascii="Times New Roman" w:eastAsia="Calibri" w:hAnsi="Times New Roman" w:cs="Calibri"/>
          <w:i/>
          <w:color w:val="000000" w:themeColor="text1"/>
          <w:sz w:val="24"/>
          <w:szCs w:val="24"/>
          <w:lang w:eastAsia="ar-SA"/>
        </w:rPr>
        <w:t xml:space="preserve">.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Согласно отчету</w:t>
      </w:r>
      <w:r w:rsidRPr="0033162F">
        <w:rPr>
          <w:rFonts w:ascii="Times New Roman" w:eastAsia="Calibri" w:hAnsi="Times New Roman" w:cs="Calibri"/>
          <w:i/>
          <w:color w:val="000000" w:themeColor="text1"/>
          <w:sz w:val="24"/>
          <w:szCs w:val="24"/>
          <w:lang w:eastAsia="ar-SA"/>
        </w:rPr>
        <w:t xml:space="preserve">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о расходовании средств резервного фонда администрации городского округа город Михайловка исполнение составило 239,6 тыс. руб.</w:t>
      </w:r>
      <w:r w:rsidRPr="00331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Расходы резервного фонда произведены в соответствии с установленными лимитами. Размер резервного фонда соответствует требованиям п.3 ст.81 БК РФ и не  превышает 3 процентов утвержденного решениями Михайловской городской Думы общего объема расходов.</w:t>
      </w:r>
    </w:p>
    <w:p w:rsidR="00F10E80" w:rsidRPr="0033162F" w:rsidRDefault="00F10E80" w:rsidP="00F10E8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По состоянию на 1 января 2018 года и на 1 января 2019 года задолженности по бюджетным кредитам нет.</w:t>
      </w:r>
    </w:p>
    <w:p w:rsidR="00F10E80" w:rsidRPr="0033162F" w:rsidRDefault="00F10E80" w:rsidP="00F10E80">
      <w:pPr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Бюджетные кредиты из бюджета городского округа город Михайловка в 2018 году не выдавались.</w:t>
      </w:r>
    </w:p>
    <w:p w:rsidR="00F10E80" w:rsidRPr="0033162F" w:rsidRDefault="00F10E80" w:rsidP="00F10E80">
      <w:pPr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       Муниципальные гарантии городского округа город Михайловка  в 2018 году юридическим лицам не предоставлялись.</w:t>
      </w:r>
    </w:p>
    <w:p w:rsidR="00F10E80" w:rsidRDefault="00F10E80" w:rsidP="007C325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</w:rPr>
      </w:pPr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            </w:t>
      </w:r>
      <w:proofErr w:type="gramStart"/>
      <w:r w:rsidRPr="0033162F"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  <w:t xml:space="preserve">Кредиторская задолженность относительно начала года уменьшилась на 28865,3 тыс. руб. и составляет на 01.01.2019 г. 36917,0 тыс. руб., </w:t>
      </w:r>
      <w:r w:rsidRPr="0033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 просроченная задолженность - 5376,9 тыс. руб.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Дебиторская задолженность бюджета города по состоянию на 01.01.2019 года увеличилась на 1548502,0 тыс. руб. по сравнению с началом года и составила 1665213,8 тыс. руб. Объясняется применением с 01.01.2019 года  федерального стандарта бухгалтерского учета для</w:t>
      </w:r>
      <w:proofErr w:type="gramEnd"/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 организаций государственного сектора «Аренда». С 2018 года общая сумма дебиторской задолженности по арендным платежам отражается с учетом начисления доходов будущих периодов от операционной аренды имущества, земель, переданных арендаторам согласно заключенным договорам. </w:t>
      </w:r>
      <w:r w:rsidRPr="0033162F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</w:t>
      </w:r>
    </w:p>
    <w:p w:rsidR="00605098" w:rsidRDefault="00605098" w:rsidP="007C3257">
      <w:pPr>
        <w:autoSpaceDE w:val="0"/>
        <w:spacing w:after="0" w:line="100" w:lineRule="atLeast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           Наличие задолженности по неналоговым доходам свидетельствует о том, что администрирование данных платежей осуществляется на недостаточном уровне.</w:t>
      </w:r>
    </w:p>
    <w:p w:rsidR="00E568D0" w:rsidRPr="00E568D0" w:rsidRDefault="005D23EF" w:rsidP="00E5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568D0" w:rsidRPr="0033162F">
        <w:rPr>
          <w:rFonts w:ascii="Times New Roman" w:hAnsi="Times New Roman" w:cs="Times New Roman"/>
          <w:color w:val="000000" w:themeColor="text1"/>
          <w:sz w:val="24"/>
          <w:szCs w:val="24"/>
        </w:rPr>
        <w:t>нализ выполнения администрацией города Михайловки Плана приватизации в 2018 году и поступления доходов в бюджет городского округа от реализации муниципального имущества показал, что одни из главных целей приватизации объектов муниципальной собственности городского округа город Михайловка  - повышение эффективности управления муниципальной собственностью городского округа город Михайловка, мобилизация доходов в бюджет города Михайловки в полном объеме не достигнуты.</w:t>
      </w:r>
      <w:r w:rsidR="00E568D0" w:rsidRPr="0033162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proofErr w:type="gramEnd"/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3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 Кассовые расходы бюджета городского округа исполнены на 95,9 % уточненного плана и составили 1668623,0 тыс. рублей, что выше  расходов 2017 года на 157118,9 тыс. руб. К первоначальному плану фактическое исполнение увеличилось на 270338,6 тыс. руб. </w:t>
      </w:r>
    </w:p>
    <w:p w:rsidR="0033162F" w:rsidRPr="0033162F" w:rsidRDefault="0033162F" w:rsidP="0033162F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16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В отчетном году реализовывалось 26 муниципальных и 5 ведомственных целевых программ, на реализацию которых, в 2017 году, направлено, из бюджета городского округа,  1181291,70 тыс. рублей.</w:t>
      </w:r>
      <w:r w:rsidRPr="0033162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3162F" w:rsidRPr="0033162F" w:rsidRDefault="0033162F" w:rsidP="00331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33162F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Волгоградской обл. от 26.10.2017 N 558-п "Об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2018 год" установлен норматив в размере 89733,0 тыс. рублей.</w:t>
      </w:r>
      <w:proofErr w:type="gramEnd"/>
      <w:r w:rsidRPr="0033162F">
        <w:rPr>
          <w:rFonts w:ascii="Times New Roman" w:eastAsia="Calibri" w:hAnsi="Times New Roman" w:cs="Times New Roman"/>
          <w:sz w:val="24"/>
          <w:szCs w:val="24"/>
        </w:rPr>
        <w:t xml:space="preserve"> Согласно отчету об исполнении бюджета за 2018 год, расходы на содержание органов местного </w:t>
      </w:r>
      <w:r w:rsidRPr="003316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самоуправления городского округа не превышают установленный норматив. Рекомендация устанавливать расходы на содержание представительного органа местного самоуправления и контрольно-счетного органа в совокупности в </w:t>
      </w:r>
      <w:proofErr w:type="gramStart"/>
      <w:r w:rsidRPr="0033162F">
        <w:rPr>
          <w:rFonts w:ascii="Times New Roman" w:eastAsia="Calibri" w:hAnsi="Times New Roman" w:cs="Times New Roman"/>
          <w:sz w:val="24"/>
          <w:szCs w:val="24"/>
        </w:rPr>
        <w:t>объеме, не превышающем 7 процентов норматива на содержание органов местного самоуправления выполняется</w:t>
      </w:r>
      <w:proofErr w:type="gramEnd"/>
      <w:r w:rsidRPr="003316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4682" w:rsidRPr="0033162F" w:rsidRDefault="00BE4682" w:rsidP="00BE4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2018 году обращено взыскание на средства бюджета городского округа 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896,2 тыс. рублей, в т. ч. по исполнительным листам -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646673,47 рублей. </w:t>
      </w:r>
      <w:proofErr w:type="gramStart"/>
      <w:r w:rsidRPr="003316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государственная пошлина -  14118,73 руб., оплата юридических услуг, услуг представителя в суде – 193812,2 рублей, пени в сумме 6068,84 руб., оплата расходов на экспертизу, оценку 150540,6 руб., материальный ущерб – 263781,0 руб., другие расходы – 16199,73 руб., нотариальные, почтовые расходы – 2152,37 рублей</w:t>
      </w:r>
      <w:r w:rsidRPr="003316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  <w:r w:rsidRPr="003316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316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указанные средства  (646673,47 руб.) относятся к неэффективным расходам бюджета городского округа город Михайловка, поскольку не направлены на решение вопросов местного значения.</w:t>
      </w:r>
    </w:p>
    <w:p w:rsidR="0033162F" w:rsidRPr="0033162F" w:rsidRDefault="0033162F" w:rsidP="00331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</w:rPr>
      </w:pP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</w:rPr>
      </w:pPr>
    </w:p>
    <w:p w:rsidR="0033162F" w:rsidRPr="0033162F" w:rsidRDefault="0033162F" w:rsidP="00331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62F" w:rsidRPr="0033162F" w:rsidRDefault="0033162F" w:rsidP="0033162F">
      <w:pP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33162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Председатель КСК                                                                                             В.Г. Гудкова</w:t>
      </w:r>
    </w:p>
    <w:p w:rsidR="0033162F" w:rsidRPr="0033162F" w:rsidRDefault="0033162F" w:rsidP="0033162F">
      <w:pP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Консультант КСК                                                                                            У.С. </w:t>
      </w:r>
      <w:proofErr w:type="spellStart"/>
      <w:r w:rsidRPr="0033162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Антонцева</w:t>
      </w:r>
      <w:proofErr w:type="spellEnd"/>
      <w:r w:rsidRPr="0033162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 </w:t>
      </w:r>
    </w:p>
    <w:p w:rsidR="0033162F" w:rsidRPr="0033162F" w:rsidRDefault="0033162F" w:rsidP="0033162F">
      <w:pP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33162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Консультант КСК                                                                                            Ю.П. Петрова</w:t>
      </w:r>
    </w:p>
    <w:p w:rsidR="0033162F" w:rsidRPr="0033162F" w:rsidRDefault="0033162F" w:rsidP="0033162F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3162F" w:rsidRPr="0033162F" w:rsidRDefault="0033162F" w:rsidP="0033162F">
      <w:pPr>
        <w:rPr>
          <w:rFonts w:ascii="Calibri" w:eastAsia="Calibri" w:hAnsi="Calibri" w:cs="Times New Roman"/>
        </w:rPr>
      </w:pPr>
    </w:p>
    <w:p w:rsidR="0033162F" w:rsidRPr="0033162F" w:rsidRDefault="0033162F" w:rsidP="0033162F">
      <w:pPr>
        <w:rPr>
          <w:rFonts w:ascii="Calibri" w:eastAsia="Calibri" w:hAnsi="Calibri" w:cs="Times New Roman"/>
        </w:rPr>
      </w:pPr>
    </w:p>
    <w:p w:rsidR="0033162F" w:rsidRPr="0033162F" w:rsidRDefault="0033162F" w:rsidP="0033162F"/>
    <w:p w:rsidR="0033162F" w:rsidRPr="0033162F" w:rsidRDefault="0033162F" w:rsidP="0033162F"/>
    <w:p w:rsidR="0033162F" w:rsidRPr="0033162F" w:rsidRDefault="0033162F" w:rsidP="0033162F"/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</w:rPr>
      </w:pPr>
    </w:p>
    <w:p w:rsidR="00531607" w:rsidRPr="00531607" w:rsidRDefault="00531607" w:rsidP="0053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607" w:rsidRPr="00531607" w:rsidRDefault="00531607" w:rsidP="00531607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31607" w:rsidRPr="00531607" w:rsidRDefault="00531607" w:rsidP="00531607">
      <w:pPr>
        <w:rPr>
          <w:rFonts w:ascii="Calibri" w:eastAsia="Calibri" w:hAnsi="Calibri" w:cs="Times New Roman"/>
        </w:rPr>
      </w:pPr>
    </w:p>
    <w:p w:rsidR="00531607" w:rsidRPr="00531607" w:rsidRDefault="00531607" w:rsidP="00531607">
      <w:pPr>
        <w:rPr>
          <w:rFonts w:ascii="Calibri" w:eastAsia="Calibri" w:hAnsi="Calibri" w:cs="Times New Roman"/>
        </w:rPr>
      </w:pPr>
    </w:p>
    <w:p w:rsidR="00531607" w:rsidRPr="00531607" w:rsidRDefault="00531607" w:rsidP="00531607"/>
    <w:p w:rsidR="00531607" w:rsidRPr="00531607" w:rsidRDefault="00531607" w:rsidP="00531607"/>
    <w:p w:rsidR="00287C53" w:rsidRDefault="00287C53" w:rsidP="00083FA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87C53" w:rsidSect="00A4440E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02" w:rsidRDefault="00553002" w:rsidP="00E26113">
      <w:pPr>
        <w:spacing w:after="0" w:line="240" w:lineRule="auto"/>
      </w:pPr>
      <w:r>
        <w:separator/>
      </w:r>
    </w:p>
  </w:endnote>
  <w:endnote w:type="continuationSeparator" w:id="0">
    <w:p w:rsidR="00553002" w:rsidRDefault="00553002" w:rsidP="00E2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02" w:rsidRDefault="00553002" w:rsidP="00E26113">
      <w:pPr>
        <w:spacing w:after="0" w:line="240" w:lineRule="auto"/>
      </w:pPr>
      <w:r>
        <w:separator/>
      </w:r>
    </w:p>
  </w:footnote>
  <w:footnote w:type="continuationSeparator" w:id="0">
    <w:p w:rsidR="00553002" w:rsidRDefault="00553002" w:rsidP="00E2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968608"/>
      <w:docPartObj>
        <w:docPartGallery w:val="Page Numbers (Top of Page)"/>
        <w:docPartUnique/>
      </w:docPartObj>
    </w:sdtPr>
    <w:sdtEndPr/>
    <w:sdtContent>
      <w:p w:rsidR="00F10E80" w:rsidRDefault="00F10E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7E1">
          <w:rPr>
            <w:noProof/>
          </w:rPr>
          <w:t>42</w:t>
        </w:r>
        <w:r>
          <w:fldChar w:fldCharType="end"/>
        </w:r>
      </w:p>
    </w:sdtContent>
  </w:sdt>
  <w:p w:rsidR="00F10E80" w:rsidRDefault="00F10E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2"/>
        </w:tabs>
        <w:ind w:left="62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84"/>
        </w:tabs>
        <w:ind w:left="88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08"/>
        </w:tabs>
        <w:ind w:left="14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70"/>
        </w:tabs>
        <w:ind w:left="16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94"/>
        </w:tabs>
        <w:ind w:left="219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56"/>
        </w:tabs>
        <w:ind w:left="2456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3">
    <w:nsid w:val="06AD42C5"/>
    <w:multiLevelType w:val="hybridMultilevel"/>
    <w:tmpl w:val="995A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F3E7E"/>
    <w:multiLevelType w:val="multilevel"/>
    <w:tmpl w:val="64101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7A296C"/>
    <w:multiLevelType w:val="hybridMultilevel"/>
    <w:tmpl w:val="65F4B66E"/>
    <w:lvl w:ilvl="0" w:tplc="49E8C4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EA62E6C"/>
    <w:multiLevelType w:val="hybridMultilevel"/>
    <w:tmpl w:val="BCD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83EC3"/>
    <w:multiLevelType w:val="hybridMultilevel"/>
    <w:tmpl w:val="C7EE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5567D"/>
    <w:multiLevelType w:val="hybridMultilevel"/>
    <w:tmpl w:val="742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30577"/>
    <w:multiLevelType w:val="hybridMultilevel"/>
    <w:tmpl w:val="0A54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A1E4C"/>
    <w:multiLevelType w:val="hybridMultilevel"/>
    <w:tmpl w:val="3B34AD02"/>
    <w:lvl w:ilvl="0" w:tplc="6AC6CD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A0F5930"/>
    <w:multiLevelType w:val="hybridMultilevel"/>
    <w:tmpl w:val="96B4168E"/>
    <w:lvl w:ilvl="0" w:tplc="AD7031D8">
      <w:start w:val="409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C3939"/>
    <w:multiLevelType w:val="hybridMultilevel"/>
    <w:tmpl w:val="ED50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050D9"/>
    <w:multiLevelType w:val="hybridMultilevel"/>
    <w:tmpl w:val="288A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B042A"/>
    <w:multiLevelType w:val="hybridMultilevel"/>
    <w:tmpl w:val="3908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00A5B"/>
    <w:multiLevelType w:val="hybridMultilevel"/>
    <w:tmpl w:val="40D6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E7264"/>
    <w:multiLevelType w:val="hybridMultilevel"/>
    <w:tmpl w:val="B69E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46CBC"/>
    <w:multiLevelType w:val="hybridMultilevel"/>
    <w:tmpl w:val="BB7AA7B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856B3"/>
    <w:multiLevelType w:val="hybridMultilevel"/>
    <w:tmpl w:val="5E64A524"/>
    <w:lvl w:ilvl="0" w:tplc="C9FEA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03A0F"/>
    <w:multiLevelType w:val="hybridMultilevel"/>
    <w:tmpl w:val="0ABAE520"/>
    <w:lvl w:ilvl="0" w:tplc="1076D9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4DF5EAB"/>
    <w:multiLevelType w:val="hybridMultilevel"/>
    <w:tmpl w:val="1B38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B7D17"/>
    <w:multiLevelType w:val="hybridMultilevel"/>
    <w:tmpl w:val="E4D0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536F7"/>
    <w:multiLevelType w:val="hybridMultilevel"/>
    <w:tmpl w:val="9BB860EC"/>
    <w:lvl w:ilvl="0" w:tplc="2996B014">
      <w:start w:val="409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F32BA"/>
    <w:multiLevelType w:val="hybridMultilevel"/>
    <w:tmpl w:val="365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84000"/>
    <w:multiLevelType w:val="hybridMultilevel"/>
    <w:tmpl w:val="C3A4F72C"/>
    <w:lvl w:ilvl="0" w:tplc="1332D5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D20D0"/>
    <w:multiLevelType w:val="hybridMultilevel"/>
    <w:tmpl w:val="76341938"/>
    <w:lvl w:ilvl="0" w:tplc="A3E0588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62437854"/>
    <w:multiLevelType w:val="hybridMultilevel"/>
    <w:tmpl w:val="507C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E3D0D"/>
    <w:multiLevelType w:val="hybridMultilevel"/>
    <w:tmpl w:val="A156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90FFC"/>
    <w:multiLevelType w:val="hybridMultilevel"/>
    <w:tmpl w:val="D908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F69A9"/>
    <w:multiLevelType w:val="hybridMultilevel"/>
    <w:tmpl w:val="051C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D5626"/>
    <w:multiLevelType w:val="hybridMultilevel"/>
    <w:tmpl w:val="E066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91720"/>
    <w:multiLevelType w:val="multilevel"/>
    <w:tmpl w:val="99A2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6E5691"/>
    <w:multiLevelType w:val="hybridMultilevel"/>
    <w:tmpl w:val="CBDC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14F2F"/>
    <w:multiLevelType w:val="hybridMultilevel"/>
    <w:tmpl w:val="13F2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26BB4"/>
    <w:multiLevelType w:val="hybridMultilevel"/>
    <w:tmpl w:val="A1581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27"/>
  </w:num>
  <w:num w:numId="9">
    <w:abstractNumId w:val="35"/>
  </w:num>
  <w:num w:numId="10">
    <w:abstractNumId w:val="4"/>
  </w:num>
  <w:num w:numId="11">
    <w:abstractNumId w:val="17"/>
  </w:num>
  <w:num w:numId="12">
    <w:abstractNumId w:val="8"/>
  </w:num>
  <w:num w:numId="13">
    <w:abstractNumId w:val="7"/>
  </w:num>
  <w:num w:numId="14">
    <w:abstractNumId w:val="16"/>
  </w:num>
  <w:num w:numId="15">
    <w:abstractNumId w:val="5"/>
  </w:num>
  <w:num w:numId="16">
    <w:abstractNumId w:val="6"/>
  </w:num>
  <w:num w:numId="17">
    <w:abstractNumId w:val="14"/>
  </w:num>
  <w:num w:numId="18">
    <w:abstractNumId w:val="33"/>
  </w:num>
  <w:num w:numId="19">
    <w:abstractNumId w:val="20"/>
  </w:num>
  <w:num w:numId="20">
    <w:abstractNumId w:val="15"/>
  </w:num>
  <w:num w:numId="21">
    <w:abstractNumId w:val="22"/>
  </w:num>
  <w:num w:numId="22">
    <w:abstractNumId w:val="21"/>
  </w:num>
  <w:num w:numId="23">
    <w:abstractNumId w:val="13"/>
  </w:num>
  <w:num w:numId="24">
    <w:abstractNumId w:val="34"/>
  </w:num>
  <w:num w:numId="25">
    <w:abstractNumId w:val="18"/>
  </w:num>
  <w:num w:numId="26">
    <w:abstractNumId w:val="30"/>
  </w:num>
  <w:num w:numId="27">
    <w:abstractNumId w:val="24"/>
  </w:num>
  <w:num w:numId="28">
    <w:abstractNumId w:val="23"/>
  </w:num>
  <w:num w:numId="29">
    <w:abstractNumId w:val="12"/>
  </w:num>
  <w:num w:numId="30">
    <w:abstractNumId w:val="9"/>
  </w:num>
  <w:num w:numId="31">
    <w:abstractNumId w:val="29"/>
  </w:num>
  <w:num w:numId="32">
    <w:abstractNumId w:val="11"/>
  </w:num>
  <w:num w:numId="33">
    <w:abstractNumId w:val="25"/>
  </w:num>
  <w:num w:numId="34">
    <w:abstractNumId w:val="19"/>
  </w:num>
  <w:num w:numId="35">
    <w:abstractNumId w:val="28"/>
  </w:num>
  <w:num w:numId="36">
    <w:abstractNumId w:val="2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A4"/>
    <w:rsid w:val="00000D28"/>
    <w:rsid w:val="0000248F"/>
    <w:rsid w:val="000054CA"/>
    <w:rsid w:val="000075C8"/>
    <w:rsid w:val="00011A4C"/>
    <w:rsid w:val="00012587"/>
    <w:rsid w:val="00014483"/>
    <w:rsid w:val="000200FA"/>
    <w:rsid w:val="0002124F"/>
    <w:rsid w:val="00022C16"/>
    <w:rsid w:val="0002348E"/>
    <w:rsid w:val="00023563"/>
    <w:rsid w:val="00024A1A"/>
    <w:rsid w:val="000264FC"/>
    <w:rsid w:val="00030684"/>
    <w:rsid w:val="00031752"/>
    <w:rsid w:val="00034E93"/>
    <w:rsid w:val="00035F15"/>
    <w:rsid w:val="000372D8"/>
    <w:rsid w:val="00037354"/>
    <w:rsid w:val="00040E3F"/>
    <w:rsid w:val="00042540"/>
    <w:rsid w:val="0004506E"/>
    <w:rsid w:val="000457E4"/>
    <w:rsid w:val="000464E7"/>
    <w:rsid w:val="000508B1"/>
    <w:rsid w:val="000538F1"/>
    <w:rsid w:val="00056E3A"/>
    <w:rsid w:val="000570ED"/>
    <w:rsid w:val="00057D15"/>
    <w:rsid w:val="000607BE"/>
    <w:rsid w:val="0006119A"/>
    <w:rsid w:val="00063427"/>
    <w:rsid w:val="00063488"/>
    <w:rsid w:val="000637A4"/>
    <w:rsid w:val="00063AA8"/>
    <w:rsid w:val="00066892"/>
    <w:rsid w:val="00066913"/>
    <w:rsid w:val="00072DED"/>
    <w:rsid w:val="00073194"/>
    <w:rsid w:val="00076EAF"/>
    <w:rsid w:val="00082439"/>
    <w:rsid w:val="00083FA4"/>
    <w:rsid w:val="00084E52"/>
    <w:rsid w:val="00085C30"/>
    <w:rsid w:val="00087129"/>
    <w:rsid w:val="00090E14"/>
    <w:rsid w:val="0009196B"/>
    <w:rsid w:val="00092A9D"/>
    <w:rsid w:val="000954FB"/>
    <w:rsid w:val="000955E2"/>
    <w:rsid w:val="000965B6"/>
    <w:rsid w:val="000A081A"/>
    <w:rsid w:val="000A2A46"/>
    <w:rsid w:val="000A4B69"/>
    <w:rsid w:val="000A6668"/>
    <w:rsid w:val="000A799E"/>
    <w:rsid w:val="000B3913"/>
    <w:rsid w:val="000B3E57"/>
    <w:rsid w:val="000B6045"/>
    <w:rsid w:val="000B6A90"/>
    <w:rsid w:val="000B6D2F"/>
    <w:rsid w:val="000B7E6D"/>
    <w:rsid w:val="000C0BE0"/>
    <w:rsid w:val="000C3661"/>
    <w:rsid w:val="000C551C"/>
    <w:rsid w:val="000C7C94"/>
    <w:rsid w:val="000D20EA"/>
    <w:rsid w:val="000D33C1"/>
    <w:rsid w:val="000D38B2"/>
    <w:rsid w:val="000D3DC5"/>
    <w:rsid w:val="000D6EB4"/>
    <w:rsid w:val="000E20B7"/>
    <w:rsid w:val="000E4D61"/>
    <w:rsid w:val="000E7660"/>
    <w:rsid w:val="000E78FB"/>
    <w:rsid w:val="000F5D13"/>
    <w:rsid w:val="000F60F2"/>
    <w:rsid w:val="000F6636"/>
    <w:rsid w:val="000F730C"/>
    <w:rsid w:val="001044AF"/>
    <w:rsid w:val="00106334"/>
    <w:rsid w:val="00106A12"/>
    <w:rsid w:val="0011169A"/>
    <w:rsid w:val="00123249"/>
    <w:rsid w:val="00125926"/>
    <w:rsid w:val="00132752"/>
    <w:rsid w:val="0013636B"/>
    <w:rsid w:val="001373A3"/>
    <w:rsid w:val="001406CC"/>
    <w:rsid w:val="001416FC"/>
    <w:rsid w:val="00144E47"/>
    <w:rsid w:val="00147083"/>
    <w:rsid w:val="001512CD"/>
    <w:rsid w:val="00152131"/>
    <w:rsid w:val="00156321"/>
    <w:rsid w:val="001638B4"/>
    <w:rsid w:val="001641D8"/>
    <w:rsid w:val="001649D9"/>
    <w:rsid w:val="001653BF"/>
    <w:rsid w:val="00166347"/>
    <w:rsid w:val="001703BF"/>
    <w:rsid w:val="00173569"/>
    <w:rsid w:val="001742C0"/>
    <w:rsid w:val="00175B54"/>
    <w:rsid w:val="00177FB8"/>
    <w:rsid w:val="00182179"/>
    <w:rsid w:val="001828DF"/>
    <w:rsid w:val="0018447D"/>
    <w:rsid w:val="001922A7"/>
    <w:rsid w:val="001942B8"/>
    <w:rsid w:val="001966F2"/>
    <w:rsid w:val="00196777"/>
    <w:rsid w:val="001969C3"/>
    <w:rsid w:val="001970CD"/>
    <w:rsid w:val="00197E21"/>
    <w:rsid w:val="001A02C2"/>
    <w:rsid w:val="001A0516"/>
    <w:rsid w:val="001A4B92"/>
    <w:rsid w:val="001A4FE8"/>
    <w:rsid w:val="001A5429"/>
    <w:rsid w:val="001A757A"/>
    <w:rsid w:val="001B0B1C"/>
    <w:rsid w:val="001B1ED6"/>
    <w:rsid w:val="001B27C1"/>
    <w:rsid w:val="001B4F9F"/>
    <w:rsid w:val="001B563F"/>
    <w:rsid w:val="001C19E4"/>
    <w:rsid w:val="001C263A"/>
    <w:rsid w:val="001C31AF"/>
    <w:rsid w:val="001C793E"/>
    <w:rsid w:val="001D0025"/>
    <w:rsid w:val="001D07CD"/>
    <w:rsid w:val="001D1427"/>
    <w:rsid w:val="001D453D"/>
    <w:rsid w:val="001D5392"/>
    <w:rsid w:val="001D56A9"/>
    <w:rsid w:val="001D6132"/>
    <w:rsid w:val="001E19F6"/>
    <w:rsid w:val="001E1BB0"/>
    <w:rsid w:val="001E22B2"/>
    <w:rsid w:val="001E401D"/>
    <w:rsid w:val="001E454C"/>
    <w:rsid w:val="001E7B82"/>
    <w:rsid w:val="001F3488"/>
    <w:rsid w:val="001F354B"/>
    <w:rsid w:val="001F3EFE"/>
    <w:rsid w:val="001F4842"/>
    <w:rsid w:val="001F604F"/>
    <w:rsid w:val="002037A4"/>
    <w:rsid w:val="00204F1A"/>
    <w:rsid w:val="00204F1F"/>
    <w:rsid w:val="00206294"/>
    <w:rsid w:val="0020667B"/>
    <w:rsid w:val="00212406"/>
    <w:rsid w:val="0021425E"/>
    <w:rsid w:val="00214DA8"/>
    <w:rsid w:val="0021538E"/>
    <w:rsid w:val="002170AA"/>
    <w:rsid w:val="002223BA"/>
    <w:rsid w:val="002226D5"/>
    <w:rsid w:val="002254DA"/>
    <w:rsid w:val="00227625"/>
    <w:rsid w:val="00227F16"/>
    <w:rsid w:val="0023066D"/>
    <w:rsid w:val="00233F44"/>
    <w:rsid w:val="00237C68"/>
    <w:rsid w:val="002525ED"/>
    <w:rsid w:val="00252E42"/>
    <w:rsid w:val="002652AC"/>
    <w:rsid w:val="002666AA"/>
    <w:rsid w:val="00270A60"/>
    <w:rsid w:val="002751A1"/>
    <w:rsid w:val="00275638"/>
    <w:rsid w:val="0027601D"/>
    <w:rsid w:val="00281380"/>
    <w:rsid w:val="00286573"/>
    <w:rsid w:val="00287C53"/>
    <w:rsid w:val="002935B4"/>
    <w:rsid w:val="002A01D4"/>
    <w:rsid w:val="002A299E"/>
    <w:rsid w:val="002A5AD2"/>
    <w:rsid w:val="002A6CC6"/>
    <w:rsid w:val="002A7D0A"/>
    <w:rsid w:val="002B0559"/>
    <w:rsid w:val="002B12D9"/>
    <w:rsid w:val="002B201D"/>
    <w:rsid w:val="002C59FA"/>
    <w:rsid w:val="002D0246"/>
    <w:rsid w:val="002D2ACE"/>
    <w:rsid w:val="002D3168"/>
    <w:rsid w:val="002D5A10"/>
    <w:rsid w:val="002D7616"/>
    <w:rsid w:val="002E0F77"/>
    <w:rsid w:val="002E1028"/>
    <w:rsid w:val="002E4AC3"/>
    <w:rsid w:val="002E5B1F"/>
    <w:rsid w:val="002E5F5D"/>
    <w:rsid w:val="002E6506"/>
    <w:rsid w:val="002F244C"/>
    <w:rsid w:val="002F3566"/>
    <w:rsid w:val="002F40BE"/>
    <w:rsid w:val="002F4649"/>
    <w:rsid w:val="002F5700"/>
    <w:rsid w:val="002F6964"/>
    <w:rsid w:val="002F7FBD"/>
    <w:rsid w:val="003023AD"/>
    <w:rsid w:val="00304315"/>
    <w:rsid w:val="003102C6"/>
    <w:rsid w:val="00311137"/>
    <w:rsid w:val="00313927"/>
    <w:rsid w:val="00314279"/>
    <w:rsid w:val="00315AB3"/>
    <w:rsid w:val="0032163D"/>
    <w:rsid w:val="003301E9"/>
    <w:rsid w:val="003303AF"/>
    <w:rsid w:val="0033162F"/>
    <w:rsid w:val="00331B57"/>
    <w:rsid w:val="00333186"/>
    <w:rsid w:val="00335FF2"/>
    <w:rsid w:val="00344086"/>
    <w:rsid w:val="0034459F"/>
    <w:rsid w:val="003446BC"/>
    <w:rsid w:val="00344B99"/>
    <w:rsid w:val="003520D5"/>
    <w:rsid w:val="00356B54"/>
    <w:rsid w:val="003602C0"/>
    <w:rsid w:val="00362E3E"/>
    <w:rsid w:val="00365993"/>
    <w:rsid w:val="0036726B"/>
    <w:rsid w:val="00370BE8"/>
    <w:rsid w:val="0037335F"/>
    <w:rsid w:val="003742A7"/>
    <w:rsid w:val="0037488E"/>
    <w:rsid w:val="003759BA"/>
    <w:rsid w:val="0038004C"/>
    <w:rsid w:val="00380BFA"/>
    <w:rsid w:val="00380DD2"/>
    <w:rsid w:val="00385EE5"/>
    <w:rsid w:val="00387E31"/>
    <w:rsid w:val="003977E1"/>
    <w:rsid w:val="003A15A6"/>
    <w:rsid w:val="003A1E6D"/>
    <w:rsid w:val="003A30F4"/>
    <w:rsid w:val="003A3E89"/>
    <w:rsid w:val="003A75DC"/>
    <w:rsid w:val="003B1CAA"/>
    <w:rsid w:val="003B2F81"/>
    <w:rsid w:val="003B3E3A"/>
    <w:rsid w:val="003B54EB"/>
    <w:rsid w:val="003C0A01"/>
    <w:rsid w:val="003C1A51"/>
    <w:rsid w:val="003C219F"/>
    <w:rsid w:val="003C255D"/>
    <w:rsid w:val="003C352F"/>
    <w:rsid w:val="003C53A8"/>
    <w:rsid w:val="003C7D42"/>
    <w:rsid w:val="003D3E96"/>
    <w:rsid w:val="003D529A"/>
    <w:rsid w:val="003D7516"/>
    <w:rsid w:val="003E1796"/>
    <w:rsid w:val="003E1FB7"/>
    <w:rsid w:val="003E24A9"/>
    <w:rsid w:val="003E45DB"/>
    <w:rsid w:val="003E51CB"/>
    <w:rsid w:val="003E5E9E"/>
    <w:rsid w:val="003F2BAB"/>
    <w:rsid w:val="003F39C7"/>
    <w:rsid w:val="003F6D0B"/>
    <w:rsid w:val="003F713D"/>
    <w:rsid w:val="003F7D3C"/>
    <w:rsid w:val="004021A2"/>
    <w:rsid w:val="00403385"/>
    <w:rsid w:val="00403BA4"/>
    <w:rsid w:val="0040424F"/>
    <w:rsid w:val="0040468D"/>
    <w:rsid w:val="00404A4A"/>
    <w:rsid w:val="004071CB"/>
    <w:rsid w:val="00410693"/>
    <w:rsid w:val="0041396C"/>
    <w:rsid w:val="0041720E"/>
    <w:rsid w:val="0041727C"/>
    <w:rsid w:val="00420A9C"/>
    <w:rsid w:val="00427A65"/>
    <w:rsid w:val="004335CC"/>
    <w:rsid w:val="00434DB2"/>
    <w:rsid w:val="004369AC"/>
    <w:rsid w:val="00436BE6"/>
    <w:rsid w:val="004378C8"/>
    <w:rsid w:val="00437F49"/>
    <w:rsid w:val="004455C2"/>
    <w:rsid w:val="004459D0"/>
    <w:rsid w:val="00447A1E"/>
    <w:rsid w:val="00451509"/>
    <w:rsid w:val="00451B61"/>
    <w:rsid w:val="004623D6"/>
    <w:rsid w:val="00463DAF"/>
    <w:rsid w:val="004648AD"/>
    <w:rsid w:val="00464BD9"/>
    <w:rsid w:val="004652FA"/>
    <w:rsid w:val="00466D7D"/>
    <w:rsid w:val="004677BE"/>
    <w:rsid w:val="004706A0"/>
    <w:rsid w:val="004723DB"/>
    <w:rsid w:val="00472807"/>
    <w:rsid w:val="004744A5"/>
    <w:rsid w:val="00474B6D"/>
    <w:rsid w:val="00474F8A"/>
    <w:rsid w:val="0047522C"/>
    <w:rsid w:val="00481504"/>
    <w:rsid w:val="00481A8C"/>
    <w:rsid w:val="00490E61"/>
    <w:rsid w:val="0049154F"/>
    <w:rsid w:val="004A0509"/>
    <w:rsid w:val="004A09ED"/>
    <w:rsid w:val="004A1850"/>
    <w:rsid w:val="004A3A66"/>
    <w:rsid w:val="004B0A6D"/>
    <w:rsid w:val="004B0D52"/>
    <w:rsid w:val="004B18D6"/>
    <w:rsid w:val="004B49E9"/>
    <w:rsid w:val="004B6A5A"/>
    <w:rsid w:val="004C0B51"/>
    <w:rsid w:val="004C3AE4"/>
    <w:rsid w:val="004C4E08"/>
    <w:rsid w:val="004C63BA"/>
    <w:rsid w:val="004D4EAE"/>
    <w:rsid w:val="004E4CEF"/>
    <w:rsid w:val="004F1567"/>
    <w:rsid w:val="004F3215"/>
    <w:rsid w:val="004F3D71"/>
    <w:rsid w:val="00501770"/>
    <w:rsid w:val="005026EB"/>
    <w:rsid w:val="00504D68"/>
    <w:rsid w:val="00505121"/>
    <w:rsid w:val="00510D83"/>
    <w:rsid w:val="00511483"/>
    <w:rsid w:val="005114CC"/>
    <w:rsid w:val="005123A0"/>
    <w:rsid w:val="0051269E"/>
    <w:rsid w:val="00513DF2"/>
    <w:rsid w:val="005214C2"/>
    <w:rsid w:val="00522F46"/>
    <w:rsid w:val="0052437B"/>
    <w:rsid w:val="00526993"/>
    <w:rsid w:val="00531607"/>
    <w:rsid w:val="005339D7"/>
    <w:rsid w:val="00534229"/>
    <w:rsid w:val="005356BC"/>
    <w:rsid w:val="005374EE"/>
    <w:rsid w:val="005412B1"/>
    <w:rsid w:val="005460C6"/>
    <w:rsid w:val="005467A5"/>
    <w:rsid w:val="00550500"/>
    <w:rsid w:val="00550836"/>
    <w:rsid w:val="005515CF"/>
    <w:rsid w:val="00551A63"/>
    <w:rsid w:val="00553002"/>
    <w:rsid w:val="0055320D"/>
    <w:rsid w:val="005541C3"/>
    <w:rsid w:val="00561B16"/>
    <w:rsid w:val="00562644"/>
    <w:rsid w:val="005647A9"/>
    <w:rsid w:val="005657B8"/>
    <w:rsid w:val="005672EF"/>
    <w:rsid w:val="005740F6"/>
    <w:rsid w:val="005747C9"/>
    <w:rsid w:val="0057611D"/>
    <w:rsid w:val="00576DF7"/>
    <w:rsid w:val="00577972"/>
    <w:rsid w:val="00580C6D"/>
    <w:rsid w:val="00581196"/>
    <w:rsid w:val="00583425"/>
    <w:rsid w:val="00584EF1"/>
    <w:rsid w:val="00590E9B"/>
    <w:rsid w:val="00591797"/>
    <w:rsid w:val="00592B75"/>
    <w:rsid w:val="00596F30"/>
    <w:rsid w:val="005A1D14"/>
    <w:rsid w:val="005A1E3A"/>
    <w:rsid w:val="005A29D3"/>
    <w:rsid w:val="005A5F99"/>
    <w:rsid w:val="005A6A8C"/>
    <w:rsid w:val="005B0A2F"/>
    <w:rsid w:val="005B0E61"/>
    <w:rsid w:val="005B0F92"/>
    <w:rsid w:val="005B49E0"/>
    <w:rsid w:val="005B5940"/>
    <w:rsid w:val="005B5ED3"/>
    <w:rsid w:val="005C2208"/>
    <w:rsid w:val="005C4F42"/>
    <w:rsid w:val="005D1563"/>
    <w:rsid w:val="005D23EF"/>
    <w:rsid w:val="005D50FE"/>
    <w:rsid w:val="005D6547"/>
    <w:rsid w:val="005E7F0A"/>
    <w:rsid w:val="005F0729"/>
    <w:rsid w:val="005F0DC6"/>
    <w:rsid w:val="005F7CB5"/>
    <w:rsid w:val="0060301B"/>
    <w:rsid w:val="006032A2"/>
    <w:rsid w:val="00605098"/>
    <w:rsid w:val="006075B8"/>
    <w:rsid w:val="00617174"/>
    <w:rsid w:val="00617749"/>
    <w:rsid w:val="00621FF5"/>
    <w:rsid w:val="00623AC5"/>
    <w:rsid w:val="00625DCD"/>
    <w:rsid w:val="00627B48"/>
    <w:rsid w:val="00636C60"/>
    <w:rsid w:val="0063743F"/>
    <w:rsid w:val="006416BB"/>
    <w:rsid w:val="00645F41"/>
    <w:rsid w:val="00646526"/>
    <w:rsid w:val="006467EB"/>
    <w:rsid w:val="00655B09"/>
    <w:rsid w:val="00661C3F"/>
    <w:rsid w:val="006653A0"/>
    <w:rsid w:val="00666D00"/>
    <w:rsid w:val="00671C9F"/>
    <w:rsid w:val="00675A09"/>
    <w:rsid w:val="006779C3"/>
    <w:rsid w:val="00677C34"/>
    <w:rsid w:val="00683692"/>
    <w:rsid w:val="00685D87"/>
    <w:rsid w:val="00686F49"/>
    <w:rsid w:val="00691067"/>
    <w:rsid w:val="00691218"/>
    <w:rsid w:val="00691EEA"/>
    <w:rsid w:val="0069698F"/>
    <w:rsid w:val="006979DD"/>
    <w:rsid w:val="006A0AE6"/>
    <w:rsid w:val="006A2054"/>
    <w:rsid w:val="006A2BA4"/>
    <w:rsid w:val="006A3D3A"/>
    <w:rsid w:val="006A623A"/>
    <w:rsid w:val="006B0F90"/>
    <w:rsid w:val="006B2C88"/>
    <w:rsid w:val="006B4327"/>
    <w:rsid w:val="006B6A37"/>
    <w:rsid w:val="006C01EE"/>
    <w:rsid w:val="006C08E8"/>
    <w:rsid w:val="006C25A7"/>
    <w:rsid w:val="006C4200"/>
    <w:rsid w:val="006C59E3"/>
    <w:rsid w:val="006C5A2C"/>
    <w:rsid w:val="006C6B09"/>
    <w:rsid w:val="006D1A6C"/>
    <w:rsid w:val="006D7AC8"/>
    <w:rsid w:val="006E1158"/>
    <w:rsid w:val="006E1DB9"/>
    <w:rsid w:val="006E3D3F"/>
    <w:rsid w:val="006E7262"/>
    <w:rsid w:val="006F4E07"/>
    <w:rsid w:val="006F7119"/>
    <w:rsid w:val="007023CC"/>
    <w:rsid w:val="0070301C"/>
    <w:rsid w:val="00703CDA"/>
    <w:rsid w:val="00706000"/>
    <w:rsid w:val="00706776"/>
    <w:rsid w:val="00712026"/>
    <w:rsid w:val="00713F05"/>
    <w:rsid w:val="00716149"/>
    <w:rsid w:val="00716DFD"/>
    <w:rsid w:val="007231AE"/>
    <w:rsid w:val="007236BE"/>
    <w:rsid w:val="00726E64"/>
    <w:rsid w:val="00730310"/>
    <w:rsid w:val="007307C0"/>
    <w:rsid w:val="007351C1"/>
    <w:rsid w:val="00740911"/>
    <w:rsid w:val="0074148D"/>
    <w:rsid w:val="00742874"/>
    <w:rsid w:val="00751914"/>
    <w:rsid w:val="00754176"/>
    <w:rsid w:val="00754DF2"/>
    <w:rsid w:val="00762CAD"/>
    <w:rsid w:val="007722A2"/>
    <w:rsid w:val="00774062"/>
    <w:rsid w:val="00775ED7"/>
    <w:rsid w:val="00784F66"/>
    <w:rsid w:val="00791408"/>
    <w:rsid w:val="007942A5"/>
    <w:rsid w:val="0079445B"/>
    <w:rsid w:val="007A17A0"/>
    <w:rsid w:val="007A2753"/>
    <w:rsid w:val="007A5AEC"/>
    <w:rsid w:val="007A6206"/>
    <w:rsid w:val="007A7CC3"/>
    <w:rsid w:val="007B14B5"/>
    <w:rsid w:val="007B363E"/>
    <w:rsid w:val="007B430E"/>
    <w:rsid w:val="007B611B"/>
    <w:rsid w:val="007B64E5"/>
    <w:rsid w:val="007C2494"/>
    <w:rsid w:val="007C3257"/>
    <w:rsid w:val="007C44CF"/>
    <w:rsid w:val="007C46B9"/>
    <w:rsid w:val="007C492E"/>
    <w:rsid w:val="007C55BD"/>
    <w:rsid w:val="007C5606"/>
    <w:rsid w:val="007D1A3A"/>
    <w:rsid w:val="007D2AA7"/>
    <w:rsid w:val="007D562B"/>
    <w:rsid w:val="007E1495"/>
    <w:rsid w:val="007E295B"/>
    <w:rsid w:val="007E4248"/>
    <w:rsid w:val="007E658A"/>
    <w:rsid w:val="007E75D2"/>
    <w:rsid w:val="007F0A96"/>
    <w:rsid w:val="007F4E0F"/>
    <w:rsid w:val="007F5472"/>
    <w:rsid w:val="007F7302"/>
    <w:rsid w:val="0081180C"/>
    <w:rsid w:val="00811E05"/>
    <w:rsid w:val="008131B4"/>
    <w:rsid w:val="00813C20"/>
    <w:rsid w:val="00814981"/>
    <w:rsid w:val="00814C2D"/>
    <w:rsid w:val="00817A88"/>
    <w:rsid w:val="00826D0A"/>
    <w:rsid w:val="008279B7"/>
    <w:rsid w:val="00827FDD"/>
    <w:rsid w:val="00831CBA"/>
    <w:rsid w:val="00833DBE"/>
    <w:rsid w:val="0083716B"/>
    <w:rsid w:val="0084717A"/>
    <w:rsid w:val="00847EA4"/>
    <w:rsid w:val="00852293"/>
    <w:rsid w:val="00853429"/>
    <w:rsid w:val="00854051"/>
    <w:rsid w:val="008600F7"/>
    <w:rsid w:val="0086729B"/>
    <w:rsid w:val="00870394"/>
    <w:rsid w:val="0087489B"/>
    <w:rsid w:val="00875EFF"/>
    <w:rsid w:val="00876448"/>
    <w:rsid w:val="008810C5"/>
    <w:rsid w:val="00882C2E"/>
    <w:rsid w:val="00884136"/>
    <w:rsid w:val="008903C0"/>
    <w:rsid w:val="008911E2"/>
    <w:rsid w:val="00894F1C"/>
    <w:rsid w:val="0089681B"/>
    <w:rsid w:val="008A0EEE"/>
    <w:rsid w:val="008A5A1E"/>
    <w:rsid w:val="008A686B"/>
    <w:rsid w:val="008B021D"/>
    <w:rsid w:val="008B05D5"/>
    <w:rsid w:val="008B2BAA"/>
    <w:rsid w:val="008B390C"/>
    <w:rsid w:val="008B65D1"/>
    <w:rsid w:val="008B7427"/>
    <w:rsid w:val="008C0E9C"/>
    <w:rsid w:val="008C231C"/>
    <w:rsid w:val="008C35FD"/>
    <w:rsid w:val="008C3CA8"/>
    <w:rsid w:val="008C6A8E"/>
    <w:rsid w:val="008D1BD2"/>
    <w:rsid w:val="008D3D85"/>
    <w:rsid w:val="008D471F"/>
    <w:rsid w:val="008D56E1"/>
    <w:rsid w:val="008D5E5A"/>
    <w:rsid w:val="008E0118"/>
    <w:rsid w:val="008E0FA1"/>
    <w:rsid w:val="008E16CE"/>
    <w:rsid w:val="008F165A"/>
    <w:rsid w:val="008F41AD"/>
    <w:rsid w:val="008F5C67"/>
    <w:rsid w:val="008F6946"/>
    <w:rsid w:val="009025C2"/>
    <w:rsid w:val="00906A7B"/>
    <w:rsid w:val="00912708"/>
    <w:rsid w:val="009157DD"/>
    <w:rsid w:val="00916981"/>
    <w:rsid w:val="009200A2"/>
    <w:rsid w:val="00920F2F"/>
    <w:rsid w:val="0092121D"/>
    <w:rsid w:val="00925638"/>
    <w:rsid w:val="00936C84"/>
    <w:rsid w:val="00936E51"/>
    <w:rsid w:val="00942A70"/>
    <w:rsid w:val="00942FF5"/>
    <w:rsid w:val="00943A3F"/>
    <w:rsid w:val="009449F1"/>
    <w:rsid w:val="00952B40"/>
    <w:rsid w:val="009534AF"/>
    <w:rsid w:val="00953887"/>
    <w:rsid w:val="00954856"/>
    <w:rsid w:val="00954EE9"/>
    <w:rsid w:val="00957B75"/>
    <w:rsid w:val="00960787"/>
    <w:rsid w:val="009617DC"/>
    <w:rsid w:val="00962F09"/>
    <w:rsid w:val="009632EB"/>
    <w:rsid w:val="009670AC"/>
    <w:rsid w:val="009671E8"/>
    <w:rsid w:val="009673CB"/>
    <w:rsid w:val="00971F1A"/>
    <w:rsid w:val="00972172"/>
    <w:rsid w:val="00972667"/>
    <w:rsid w:val="00972D85"/>
    <w:rsid w:val="00973BB6"/>
    <w:rsid w:val="009756B3"/>
    <w:rsid w:val="009807AB"/>
    <w:rsid w:val="009827EA"/>
    <w:rsid w:val="009845A7"/>
    <w:rsid w:val="009858B8"/>
    <w:rsid w:val="009902FB"/>
    <w:rsid w:val="00992958"/>
    <w:rsid w:val="00995395"/>
    <w:rsid w:val="009956D4"/>
    <w:rsid w:val="00997C06"/>
    <w:rsid w:val="009B0729"/>
    <w:rsid w:val="009B233B"/>
    <w:rsid w:val="009B4BC0"/>
    <w:rsid w:val="009B7D9C"/>
    <w:rsid w:val="009D3037"/>
    <w:rsid w:val="009D4D51"/>
    <w:rsid w:val="009E0C85"/>
    <w:rsid w:val="009E1BBB"/>
    <w:rsid w:val="009E3BED"/>
    <w:rsid w:val="009E48A7"/>
    <w:rsid w:val="009E700A"/>
    <w:rsid w:val="009F3138"/>
    <w:rsid w:val="009F3B31"/>
    <w:rsid w:val="009F4194"/>
    <w:rsid w:val="009F46F5"/>
    <w:rsid w:val="009F52EE"/>
    <w:rsid w:val="009F714B"/>
    <w:rsid w:val="009F7FE8"/>
    <w:rsid w:val="00A01670"/>
    <w:rsid w:val="00A03B4B"/>
    <w:rsid w:val="00A04674"/>
    <w:rsid w:val="00A05B08"/>
    <w:rsid w:val="00A10276"/>
    <w:rsid w:val="00A14DF3"/>
    <w:rsid w:val="00A1573E"/>
    <w:rsid w:val="00A16F42"/>
    <w:rsid w:val="00A20BEC"/>
    <w:rsid w:val="00A222B2"/>
    <w:rsid w:val="00A2484C"/>
    <w:rsid w:val="00A24E91"/>
    <w:rsid w:val="00A302D0"/>
    <w:rsid w:val="00A40481"/>
    <w:rsid w:val="00A4084D"/>
    <w:rsid w:val="00A43A11"/>
    <w:rsid w:val="00A43CE4"/>
    <w:rsid w:val="00A4440E"/>
    <w:rsid w:val="00A50647"/>
    <w:rsid w:val="00A55A87"/>
    <w:rsid w:val="00A60890"/>
    <w:rsid w:val="00A62053"/>
    <w:rsid w:val="00A65F38"/>
    <w:rsid w:val="00A6780F"/>
    <w:rsid w:val="00A70E27"/>
    <w:rsid w:val="00A71699"/>
    <w:rsid w:val="00A730C8"/>
    <w:rsid w:val="00A73439"/>
    <w:rsid w:val="00A77635"/>
    <w:rsid w:val="00A83C99"/>
    <w:rsid w:val="00A840F5"/>
    <w:rsid w:val="00A84D6F"/>
    <w:rsid w:val="00A8573F"/>
    <w:rsid w:val="00A86890"/>
    <w:rsid w:val="00A8776F"/>
    <w:rsid w:val="00AA08DE"/>
    <w:rsid w:val="00AA0F5B"/>
    <w:rsid w:val="00AA2208"/>
    <w:rsid w:val="00AA6066"/>
    <w:rsid w:val="00AA6090"/>
    <w:rsid w:val="00AA726E"/>
    <w:rsid w:val="00AA7C09"/>
    <w:rsid w:val="00AB136D"/>
    <w:rsid w:val="00AB1C3F"/>
    <w:rsid w:val="00AB2FCE"/>
    <w:rsid w:val="00AB529B"/>
    <w:rsid w:val="00AC0243"/>
    <w:rsid w:val="00AC70C1"/>
    <w:rsid w:val="00AD3E15"/>
    <w:rsid w:val="00AE3F3A"/>
    <w:rsid w:val="00AE42A1"/>
    <w:rsid w:val="00AE5959"/>
    <w:rsid w:val="00AE7C67"/>
    <w:rsid w:val="00AF2EE4"/>
    <w:rsid w:val="00AF3C05"/>
    <w:rsid w:val="00AF7E48"/>
    <w:rsid w:val="00B05879"/>
    <w:rsid w:val="00B0589A"/>
    <w:rsid w:val="00B13AB2"/>
    <w:rsid w:val="00B15539"/>
    <w:rsid w:val="00B17832"/>
    <w:rsid w:val="00B20AE0"/>
    <w:rsid w:val="00B24A96"/>
    <w:rsid w:val="00B24E57"/>
    <w:rsid w:val="00B25C34"/>
    <w:rsid w:val="00B274A6"/>
    <w:rsid w:val="00B313A0"/>
    <w:rsid w:val="00B31B68"/>
    <w:rsid w:val="00B32DAD"/>
    <w:rsid w:val="00B332B4"/>
    <w:rsid w:val="00B34A01"/>
    <w:rsid w:val="00B37FFB"/>
    <w:rsid w:val="00B40085"/>
    <w:rsid w:val="00B43A52"/>
    <w:rsid w:val="00B43AD9"/>
    <w:rsid w:val="00B451B0"/>
    <w:rsid w:val="00B472E3"/>
    <w:rsid w:val="00B513A2"/>
    <w:rsid w:val="00B53874"/>
    <w:rsid w:val="00B5504E"/>
    <w:rsid w:val="00B55E7E"/>
    <w:rsid w:val="00B711BC"/>
    <w:rsid w:val="00B719D8"/>
    <w:rsid w:val="00B72402"/>
    <w:rsid w:val="00B75A5F"/>
    <w:rsid w:val="00B75B9F"/>
    <w:rsid w:val="00B83440"/>
    <w:rsid w:val="00B83518"/>
    <w:rsid w:val="00B83A4F"/>
    <w:rsid w:val="00B83F50"/>
    <w:rsid w:val="00B85A6C"/>
    <w:rsid w:val="00B8668F"/>
    <w:rsid w:val="00B8760C"/>
    <w:rsid w:val="00B90E6A"/>
    <w:rsid w:val="00B93848"/>
    <w:rsid w:val="00B95717"/>
    <w:rsid w:val="00BA1979"/>
    <w:rsid w:val="00BA1A2E"/>
    <w:rsid w:val="00BA204F"/>
    <w:rsid w:val="00BA2C4F"/>
    <w:rsid w:val="00BA3715"/>
    <w:rsid w:val="00BA5397"/>
    <w:rsid w:val="00BA677C"/>
    <w:rsid w:val="00BB0E7C"/>
    <w:rsid w:val="00BB404C"/>
    <w:rsid w:val="00BB5B12"/>
    <w:rsid w:val="00BB6601"/>
    <w:rsid w:val="00BC27A6"/>
    <w:rsid w:val="00BC4600"/>
    <w:rsid w:val="00BC49B9"/>
    <w:rsid w:val="00BC580F"/>
    <w:rsid w:val="00BC7469"/>
    <w:rsid w:val="00BD375B"/>
    <w:rsid w:val="00BE1057"/>
    <w:rsid w:val="00BE1BFA"/>
    <w:rsid w:val="00BE2495"/>
    <w:rsid w:val="00BE4682"/>
    <w:rsid w:val="00BE67D0"/>
    <w:rsid w:val="00BE6DC7"/>
    <w:rsid w:val="00BF240A"/>
    <w:rsid w:val="00BF5F3D"/>
    <w:rsid w:val="00C00A27"/>
    <w:rsid w:val="00C0360F"/>
    <w:rsid w:val="00C04FDE"/>
    <w:rsid w:val="00C10A4D"/>
    <w:rsid w:val="00C12CE4"/>
    <w:rsid w:val="00C1306D"/>
    <w:rsid w:val="00C16896"/>
    <w:rsid w:val="00C231AC"/>
    <w:rsid w:val="00C2415F"/>
    <w:rsid w:val="00C27CB7"/>
    <w:rsid w:val="00C3268F"/>
    <w:rsid w:val="00C347AF"/>
    <w:rsid w:val="00C35133"/>
    <w:rsid w:val="00C3673D"/>
    <w:rsid w:val="00C36E41"/>
    <w:rsid w:val="00C41CA5"/>
    <w:rsid w:val="00C42503"/>
    <w:rsid w:val="00C449B1"/>
    <w:rsid w:val="00C46523"/>
    <w:rsid w:val="00C46FC1"/>
    <w:rsid w:val="00C50127"/>
    <w:rsid w:val="00C572F3"/>
    <w:rsid w:val="00C57D8A"/>
    <w:rsid w:val="00C62445"/>
    <w:rsid w:val="00C6425F"/>
    <w:rsid w:val="00C66623"/>
    <w:rsid w:val="00C672B5"/>
    <w:rsid w:val="00C72D9E"/>
    <w:rsid w:val="00C74E00"/>
    <w:rsid w:val="00C75251"/>
    <w:rsid w:val="00C75BA5"/>
    <w:rsid w:val="00C84225"/>
    <w:rsid w:val="00C84569"/>
    <w:rsid w:val="00C92089"/>
    <w:rsid w:val="00C93D53"/>
    <w:rsid w:val="00C94837"/>
    <w:rsid w:val="00C965CC"/>
    <w:rsid w:val="00CA0F30"/>
    <w:rsid w:val="00CA4350"/>
    <w:rsid w:val="00CA5D0B"/>
    <w:rsid w:val="00CA604A"/>
    <w:rsid w:val="00CB44A8"/>
    <w:rsid w:val="00CB49DF"/>
    <w:rsid w:val="00CC03F5"/>
    <w:rsid w:val="00CC56D5"/>
    <w:rsid w:val="00CD2397"/>
    <w:rsid w:val="00CD6CB2"/>
    <w:rsid w:val="00CE069F"/>
    <w:rsid w:val="00CE102C"/>
    <w:rsid w:val="00CE37FE"/>
    <w:rsid w:val="00CF1AEB"/>
    <w:rsid w:val="00CF206F"/>
    <w:rsid w:val="00CF2D2B"/>
    <w:rsid w:val="00CF3585"/>
    <w:rsid w:val="00D0124A"/>
    <w:rsid w:val="00D03F27"/>
    <w:rsid w:val="00D0589B"/>
    <w:rsid w:val="00D06316"/>
    <w:rsid w:val="00D06A02"/>
    <w:rsid w:val="00D0729A"/>
    <w:rsid w:val="00D07E29"/>
    <w:rsid w:val="00D13ED1"/>
    <w:rsid w:val="00D14192"/>
    <w:rsid w:val="00D21899"/>
    <w:rsid w:val="00D21C1D"/>
    <w:rsid w:val="00D25321"/>
    <w:rsid w:val="00D32163"/>
    <w:rsid w:val="00D32A70"/>
    <w:rsid w:val="00D34C7B"/>
    <w:rsid w:val="00D42E89"/>
    <w:rsid w:val="00D42EEB"/>
    <w:rsid w:val="00D43491"/>
    <w:rsid w:val="00D4548E"/>
    <w:rsid w:val="00D455AB"/>
    <w:rsid w:val="00D46B67"/>
    <w:rsid w:val="00D47FDE"/>
    <w:rsid w:val="00D56577"/>
    <w:rsid w:val="00D572AC"/>
    <w:rsid w:val="00D617A5"/>
    <w:rsid w:val="00D73370"/>
    <w:rsid w:val="00D7380D"/>
    <w:rsid w:val="00D73E22"/>
    <w:rsid w:val="00D74E79"/>
    <w:rsid w:val="00D83AC1"/>
    <w:rsid w:val="00D84A2A"/>
    <w:rsid w:val="00D87710"/>
    <w:rsid w:val="00D91342"/>
    <w:rsid w:val="00D94E38"/>
    <w:rsid w:val="00D95867"/>
    <w:rsid w:val="00D9596A"/>
    <w:rsid w:val="00D96687"/>
    <w:rsid w:val="00DA1A09"/>
    <w:rsid w:val="00DA3BA3"/>
    <w:rsid w:val="00DA3D45"/>
    <w:rsid w:val="00DA49A3"/>
    <w:rsid w:val="00DA6554"/>
    <w:rsid w:val="00DB78BB"/>
    <w:rsid w:val="00DB7DD7"/>
    <w:rsid w:val="00DC091F"/>
    <w:rsid w:val="00DC0BDE"/>
    <w:rsid w:val="00DC0BE0"/>
    <w:rsid w:val="00DC3D0B"/>
    <w:rsid w:val="00DC60B5"/>
    <w:rsid w:val="00DD4786"/>
    <w:rsid w:val="00DD5C5C"/>
    <w:rsid w:val="00DE1D30"/>
    <w:rsid w:val="00DE3F7F"/>
    <w:rsid w:val="00DE48B3"/>
    <w:rsid w:val="00DE52D7"/>
    <w:rsid w:val="00DF01C9"/>
    <w:rsid w:val="00DF2B02"/>
    <w:rsid w:val="00DF5C68"/>
    <w:rsid w:val="00E05149"/>
    <w:rsid w:val="00E12856"/>
    <w:rsid w:val="00E12B8D"/>
    <w:rsid w:val="00E13DDD"/>
    <w:rsid w:val="00E1657D"/>
    <w:rsid w:val="00E20495"/>
    <w:rsid w:val="00E211FF"/>
    <w:rsid w:val="00E23711"/>
    <w:rsid w:val="00E23825"/>
    <w:rsid w:val="00E26113"/>
    <w:rsid w:val="00E32E31"/>
    <w:rsid w:val="00E337F4"/>
    <w:rsid w:val="00E3558D"/>
    <w:rsid w:val="00E35D6D"/>
    <w:rsid w:val="00E42464"/>
    <w:rsid w:val="00E42561"/>
    <w:rsid w:val="00E42694"/>
    <w:rsid w:val="00E4326C"/>
    <w:rsid w:val="00E46B76"/>
    <w:rsid w:val="00E46F92"/>
    <w:rsid w:val="00E47D37"/>
    <w:rsid w:val="00E505C4"/>
    <w:rsid w:val="00E54DCA"/>
    <w:rsid w:val="00E568D0"/>
    <w:rsid w:val="00E57055"/>
    <w:rsid w:val="00E620D4"/>
    <w:rsid w:val="00E66ED4"/>
    <w:rsid w:val="00E71053"/>
    <w:rsid w:val="00E7222E"/>
    <w:rsid w:val="00E72A36"/>
    <w:rsid w:val="00E73A9A"/>
    <w:rsid w:val="00E75661"/>
    <w:rsid w:val="00E75BCD"/>
    <w:rsid w:val="00E7665F"/>
    <w:rsid w:val="00E8088D"/>
    <w:rsid w:val="00E80B53"/>
    <w:rsid w:val="00E81369"/>
    <w:rsid w:val="00E84D7F"/>
    <w:rsid w:val="00E853AE"/>
    <w:rsid w:val="00E92370"/>
    <w:rsid w:val="00E927E8"/>
    <w:rsid w:val="00E928D0"/>
    <w:rsid w:val="00E97F6F"/>
    <w:rsid w:val="00EA1C12"/>
    <w:rsid w:val="00EA79F8"/>
    <w:rsid w:val="00EB0530"/>
    <w:rsid w:val="00EB23D2"/>
    <w:rsid w:val="00EB45C6"/>
    <w:rsid w:val="00EB795A"/>
    <w:rsid w:val="00EC0666"/>
    <w:rsid w:val="00EC5D57"/>
    <w:rsid w:val="00EC6100"/>
    <w:rsid w:val="00EC6718"/>
    <w:rsid w:val="00EC74E9"/>
    <w:rsid w:val="00EC7792"/>
    <w:rsid w:val="00ED2242"/>
    <w:rsid w:val="00ED26A0"/>
    <w:rsid w:val="00ED697D"/>
    <w:rsid w:val="00EE16D1"/>
    <w:rsid w:val="00EE1E36"/>
    <w:rsid w:val="00EE3563"/>
    <w:rsid w:val="00EE7554"/>
    <w:rsid w:val="00EE75A4"/>
    <w:rsid w:val="00EF1405"/>
    <w:rsid w:val="00EF1466"/>
    <w:rsid w:val="00EF462D"/>
    <w:rsid w:val="00EF6443"/>
    <w:rsid w:val="00F10472"/>
    <w:rsid w:val="00F10E80"/>
    <w:rsid w:val="00F12785"/>
    <w:rsid w:val="00F13BD2"/>
    <w:rsid w:val="00F13D50"/>
    <w:rsid w:val="00F279D4"/>
    <w:rsid w:val="00F33D01"/>
    <w:rsid w:val="00F40D17"/>
    <w:rsid w:val="00F41B3A"/>
    <w:rsid w:val="00F444BB"/>
    <w:rsid w:val="00F50CB6"/>
    <w:rsid w:val="00F65C9E"/>
    <w:rsid w:val="00F7068F"/>
    <w:rsid w:val="00F712F5"/>
    <w:rsid w:val="00F713A5"/>
    <w:rsid w:val="00F71AE9"/>
    <w:rsid w:val="00F72521"/>
    <w:rsid w:val="00F766B0"/>
    <w:rsid w:val="00F9027C"/>
    <w:rsid w:val="00F91129"/>
    <w:rsid w:val="00F928B5"/>
    <w:rsid w:val="00F93385"/>
    <w:rsid w:val="00F94AF9"/>
    <w:rsid w:val="00FA0F73"/>
    <w:rsid w:val="00FA34DD"/>
    <w:rsid w:val="00FA3C22"/>
    <w:rsid w:val="00FA3D02"/>
    <w:rsid w:val="00FA4790"/>
    <w:rsid w:val="00FA607B"/>
    <w:rsid w:val="00FA609F"/>
    <w:rsid w:val="00FA7540"/>
    <w:rsid w:val="00FB0C02"/>
    <w:rsid w:val="00FB1B3B"/>
    <w:rsid w:val="00FB2E59"/>
    <w:rsid w:val="00FB35E4"/>
    <w:rsid w:val="00FB62E8"/>
    <w:rsid w:val="00FC41DE"/>
    <w:rsid w:val="00FC6183"/>
    <w:rsid w:val="00FC76CF"/>
    <w:rsid w:val="00FC77FE"/>
    <w:rsid w:val="00FD14AC"/>
    <w:rsid w:val="00FD1D8A"/>
    <w:rsid w:val="00FD30E6"/>
    <w:rsid w:val="00FE0B11"/>
    <w:rsid w:val="00FE2708"/>
    <w:rsid w:val="00FE35F8"/>
    <w:rsid w:val="00FE5474"/>
    <w:rsid w:val="00FF177B"/>
    <w:rsid w:val="00FF49B7"/>
    <w:rsid w:val="00FF50E8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FA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83FA4"/>
  </w:style>
  <w:style w:type="paragraph" w:styleId="a3">
    <w:name w:val="Normal (Web)"/>
    <w:basedOn w:val="a"/>
    <w:uiPriority w:val="99"/>
    <w:unhideWhenUsed/>
    <w:rsid w:val="00083FA4"/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3F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83FA4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nhideWhenUsed/>
    <w:rsid w:val="00083FA4"/>
    <w:pPr>
      <w:tabs>
        <w:tab w:val="center" w:pos="4677"/>
        <w:tab w:val="right" w:pos="9355"/>
      </w:tabs>
    </w:pPr>
    <w:rPr>
      <w:rFonts w:ascii="Calibri" w:eastAsia="Calibri" w:hAnsi="Calibri" w:cs="Calibri"/>
      <w:lang w:eastAsia="ar-SA"/>
    </w:rPr>
  </w:style>
  <w:style w:type="character" w:customStyle="1" w:styleId="a7">
    <w:name w:val="Нижний колонтитул Знак"/>
    <w:basedOn w:val="a0"/>
    <w:link w:val="a6"/>
    <w:rsid w:val="00083FA4"/>
    <w:rPr>
      <w:rFonts w:ascii="Calibri" w:eastAsia="Calibri" w:hAnsi="Calibri" w:cs="Calibri"/>
      <w:lang w:eastAsia="ar-SA"/>
    </w:rPr>
  </w:style>
  <w:style w:type="paragraph" w:styleId="a8">
    <w:name w:val="Body Text"/>
    <w:basedOn w:val="a"/>
    <w:link w:val="a9"/>
    <w:semiHidden/>
    <w:unhideWhenUsed/>
    <w:rsid w:val="00083FA4"/>
    <w:pPr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083FA4"/>
    <w:rPr>
      <w:rFonts w:ascii="Calibri" w:eastAsia="Calibri" w:hAnsi="Calibri" w:cs="Calibri"/>
      <w:lang w:eastAsia="ar-SA"/>
    </w:rPr>
  </w:style>
  <w:style w:type="paragraph" w:styleId="aa">
    <w:name w:val="List"/>
    <w:basedOn w:val="a8"/>
    <w:semiHidden/>
    <w:unhideWhenUsed/>
    <w:rsid w:val="00083FA4"/>
    <w:rPr>
      <w:rFonts w:cs="Tahoma"/>
    </w:rPr>
  </w:style>
  <w:style w:type="paragraph" w:styleId="ab">
    <w:name w:val="Subtitle"/>
    <w:basedOn w:val="a"/>
    <w:next w:val="a"/>
    <w:link w:val="ac"/>
    <w:qFormat/>
    <w:rsid w:val="00083F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083F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083FA4"/>
    <w:pPr>
      <w:spacing w:after="120"/>
      <w:ind w:left="283"/>
    </w:pPr>
    <w:rPr>
      <w:rFonts w:ascii="Calibri" w:eastAsia="Calibri" w:hAnsi="Calibri" w:cs="Times New Roman"/>
      <w:lang w:val="x-none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83FA4"/>
    <w:rPr>
      <w:rFonts w:ascii="Calibri" w:eastAsia="Calibri" w:hAnsi="Calibri" w:cs="Times New Roman"/>
      <w:lang w:val="x-none" w:eastAsia="ar-SA"/>
    </w:rPr>
  </w:style>
  <w:style w:type="paragraph" w:styleId="af">
    <w:name w:val="Balloon Text"/>
    <w:basedOn w:val="a"/>
    <w:link w:val="af0"/>
    <w:uiPriority w:val="99"/>
    <w:unhideWhenUsed/>
    <w:rsid w:val="00083FA4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rsid w:val="00083FA4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af1">
    <w:name w:val="No Spacing"/>
    <w:uiPriority w:val="1"/>
    <w:qFormat/>
    <w:rsid w:val="00083FA4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2">
    <w:name w:val="List Paragraph"/>
    <w:basedOn w:val="a"/>
    <w:uiPriority w:val="34"/>
    <w:qFormat/>
    <w:rsid w:val="00083F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3">
    <w:name w:val="Заголовок"/>
    <w:basedOn w:val="a"/>
    <w:next w:val="a8"/>
    <w:rsid w:val="00083FA4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7">
    <w:name w:val="Название7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6">
    <w:name w:val="Название6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5">
    <w:name w:val="Название5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4">
    <w:name w:val="Название4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3">
    <w:name w:val="Название3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2">
    <w:name w:val="Название2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12">
    <w:name w:val="Название1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af4">
    <w:name w:val="Содержимое таблицы"/>
    <w:basedOn w:val="a"/>
    <w:rsid w:val="00083FA4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5">
    <w:name w:val="Заголовок таблицы"/>
    <w:basedOn w:val="af4"/>
    <w:rsid w:val="00083FA4"/>
    <w:pPr>
      <w:jc w:val="center"/>
    </w:pPr>
    <w:rPr>
      <w:b/>
      <w:bCs/>
    </w:rPr>
  </w:style>
  <w:style w:type="paragraph" w:customStyle="1" w:styleId="af6">
    <w:name w:val="Содержимое врезки"/>
    <w:basedOn w:val="a8"/>
    <w:rsid w:val="00083FA4"/>
  </w:style>
  <w:style w:type="paragraph" w:customStyle="1" w:styleId="af7">
    <w:name w:val="Комментарий"/>
    <w:basedOn w:val="a"/>
    <w:next w:val="a"/>
    <w:uiPriority w:val="99"/>
    <w:rsid w:val="00083FA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ConsPlusNormal">
    <w:name w:val="ConsPlusNormal"/>
    <w:rsid w:val="00083F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W8Num1z0">
    <w:name w:val="WW8Num1z0"/>
    <w:rsid w:val="00083FA4"/>
    <w:rPr>
      <w:rFonts w:ascii="Symbol" w:hAnsi="Symbol" w:hint="default"/>
    </w:rPr>
  </w:style>
  <w:style w:type="character" w:customStyle="1" w:styleId="WW8Num2z0">
    <w:name w:val="WW8Num2z0"/>
    <w:rsid w:val="00083FA4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083FA4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083FA4"/>
    <w:rPr>
      <w:rFonts w:ascii="Times New Roman" w:hAnsi="Times New Roman" w:cs="Times New Roman" w:hint="default"/>
    </w:rPr>
  </w:style>
  <w:style w:type="character" w:customStyle="1" w:styleId="WW8Num5z0">
    <w:name w:val="WW8Num5z0"/>
    <w:rsid w:val="00083FA4"/>
    <w:rPr>
      <w:rFonts w:ascii="Times New Roman" w:eastAsia="Calibri" w:hAnsi="Times New Roman" w:cs="Times New Roman" w:hint="default"/>
    </w:rPr>
  </w:style>
  <w:style w:type="character" w:customStyle="1" w:styleId="WW8Num6z0">
    <w:name w:val="WW8Num6z0"/>
    <w:rsid w:val="00083FA4"/>
    <w:rPr>
      <w:rFonts w:ascii="Times New Roman" w:eastAsia="Calibri" w:hAnsi="Times New Roman" w:cs="Times New Roman" w:hint="default"/>
    </w:rPr>
  </w:style>
  <w:style w:type="character" w:customStyle="1" w:styleId="Absatz-Standardschriftart">
    <w:name w:val="Absatz-Standardschriftart"/>
    <w:rsid w:val="00083FA4"/>
  </w:style>
  <w:style w:type="character" w:customStyle="1" w:styleId="WW8Num6z1">
    <w:name w:val="WW8Num6z1"/>
    <w:rsid w:val="00083FA4"/>
    <w:rPr>
      <w:rFonts w:ascii="Courier New" w:hAnsi="Courier New" w:cs="Courier New" w:hint="default"/>
    </w:rPr>
  </w:style>
  <w:style w:type="character" w:customStyle="1" w:styleId="WW8Num6z2">
    <w:name w:val="WW8Num6z2"/>
    <w:rsid w:val="00083FA4"/>
    <w:rPr>
      <w:rFonts w:ascii="Wingdings" w:hAnsi="Wingdings" w:hint="default"/>
    </w:rPr>
  </w:style>
  <w:style w:type="character" w:customStyle="1" w:styleId="WW8Num6z3">
    <w:name w:val="WW8Num6z3"/>
    <w:rsid w:val="00083FA4"/>
    <w:rPr>
      <w:rFonts w:ascii="Symbol" w:hAnsi="Symbol" w:hint="default"/>
    </w:rPr>
  </w:style>
  <w:style w:type="character" w:customStyle="1" w:styleId="71">
    <w:name w:val="Основной шрифт абзаца7"/>
    <w:rsid w:val="00083FA4"/>
  </w:style>
  <w:style w:type="character" w:customStyle="1" w:styleId="WW8Num5z1">
    <w:name w:val="WW8Num5z1"/>
    <w:rsid w:val="00083FA4"/>
    <w:rPr>
      <w:rFonts w:ascii="Courier New" w:hAnsi="Courier New" w:cs="Courier New" w:hint="default"/>
    </w:rPr>
  </w:style>
  <w:style w:type="character" w:customStyle="1" w:styleId="WW8Num5z2">
    <w:name w:val="WW8Num5z2"/>
    <w:rsid w:val="00083FA4"/>
    <w:rPr>
      <w:rFonts w:ascii="Wingdings" w:hAnsi="Wingdings" w:hint="default"/>
    </w:rPr>
  </w:style>
  <w:style w:type="character" w:customStyle="1" w:styleId="WW8Num5z3">
    <w:name w:val="WW8Num5z3"/>
    <w:rsid w:val="00083FA4"/>
    <w:rPr>
      <w:rFonts w:ascii="Symbol" w:hAnsi="Symbol" w:hint="default"/>
    </w:rPr>
  </w:style>
  <w:style w:type="character" w:customStyle="1" w:styleId="61">
    <w:name w:val="Основной шрифт абзаца6"/>
    <w:rsid w:val="00083FA4"/>
  </w:style>
  <w:style w:type="character" w:customStyle="1" w:styleId="51">
    <w:name w:val="Основной шрифт абзаца5"/>
    <w:rsid w:val="00083FA4"/>
  </w:style>
  <w:style w:type="character" w:customStyle="1" w:styleId="41">
    <w:name w:val="Основной шрифт абзаца4"/>
    <w:rsid w:val="00083FA4"/>
  </w:style>
  <w:style w:type="character" w:customStyle="1" w:styleId="WW-Absatz-Standardschriftart">
    <w:name w:val="WW-Absatz-Standardschriftart"/>
    <w:rsid w:val="00083FA4"/>
  </w:style>
  <w:style w:type="character" w:customStyle="1" w:styleId="WW-Absatz-Standardschriftart1">
    <w:name w:val="WW-Absatz-Standardschriftart1"/>
    <w:rsid w:val="00083FA4"/>
  </w:style>
  <w:style w:type="character" w:customStyle="1" w:styleId="WW-Absatz-Standardschriftart11">
    <w:name w:val="WW-Absatz-Standardschriftart11"/>
    <w:rsid w:val="00083FA4"/>
  </w:style>
  <w:style w:type="character" w:customStyle="1" w:styleId="WW-Absatz-Standardschriftart111">
    <w:name w:val="WW-Absatz-Standardschriftart111"/>
    <w:rsid w:val="00083FA4"/>
  </w:style>
  <w:style w:type="character" w:customStyle="1" w:styleId="WW-Absatz-Standardschriftart1111">
    <w:name w:val="WW-Absatz-Standardschriftart1111"/>
    <w:rsid w:val="00083FA4"/>
  </w:style>
  <w:style w:type="character" w:customStyle="1" w:styleId="31">
    <w:name w:val="Основной шрифт абзаца3"/>
    <w:rsid w:val="00083FA4"/>
  </w:style>
  <w:style w:type="character" w:customStyle="1" w:styleId="WW8Num1z1">
    <w:name w:val="WW8Num1z1"/>
    <w:rsid w:val="00083FA4"/>
    <w:rPr>
      <w:rFonts w:ascii="Courier New" w:hAnsi="Courier New" w:cs="Courier New" w:hint="default"/>
    </w:rPr>
  </w:style>
  <w:style w:type="character" w:customStyle="1" w:styleId="WW8Num1z2">
    <w:name w:val="WW8Num1z2"/>
    <w:rsid w:val="00083FA4"/>
    <w:rPr>
      <w:rFonts w:ascii="Wingdings" w:hAnsi="Wingdings" w:hint="default"/>
    </w:rPr>
  </w:style>
  <w:style w:type="character" w:customStyle="1" w:styleId="21">
    <w:name w:val="Основной шрифт абзаца2"/>
    <w:rsid w:val="00083FA4"/>
  </w:style>
  <w:style w:type="character" w:customStyle="1" w:styleId="14">
    <w:name w:val="Основной шрифт абзаца1"/>
    <w:rsid w:val="00083FA4"/>
  </w:style>
  <w:style w:type="character" w:customStyle="1" w:styleId="af8">
    <w:name w:val="Маркеры списка"/>
    <w:rsid w:val="00083FA4"/>
    <w:rPr>
      <w:rFonts w:ascii="StarSymbol" w:eastAsia="StarSymbol" w:hAnsi="StarSymbol" w:cs="StarSymbol" w:hint="eastAsia"/>
      <w:sz w:val="18"/>
      <w:szCs w:val="18"/>
    </w:rPr>
  </w:style>
  <w:style w:type="paragraph" w:styleId="af9">
    <w:name w:val="Title"/>
    <w:basedOn w:val="a"/>
    <w:next w:val="a"/>
    <w:link w:val="afa"/>
    <w:qFormat/>
    <w:rsid w:val="00083F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083F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b">
    <w:name w:val="Table Grid"/>
    <w:basedOn w:val="a1"/>
    <w:uiPriority w:val="59"/>
    <w:rsid w:val="0008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083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083F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083F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rsid w:val="00083FA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basedOn w:val="21"/>
    <w:semiHidden/>
    <w:rsid w:val="00F72521"/>
  </w:style>
  <w:style w:type="numbering" w:customStyle="1" w:styleId="110">
    <w:name w:val="Нет списка11"/>
    <w:next w:val="a2"/>
    <w:uiPriority w:val="99"/>
    <w:semiHidden/>
    <w:unhideWhenUsed/>
    <w:rsid w:val="00F72521"/>
  </w:style>
  <w:style w:type="table" w:customStyle="1" w:styleId="410">
    <w:name w:val="Сетка таблицы41"/>
    <w:basedOn w:val="a1"/>
    <w:next w:val="afb"/>
    <w:rsid w:val="00F7252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FA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83FA4"/>
  </w:style>
  <w:style w:type="paragraph" w:styleId="a3">
    <w:name w:val="Normal (Web)"/>
    <w:basedOn w:val="a"/>
    <w:uiPriority w:val="99"/>
    <w:unhideWhenUsed/>
    <w:rsid w:val="00083FA4"/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3F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83FA4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nhideWhenUsed/>
    <w:rsid w:val="00083FA4"/>
    <w:pPr>
      <w:tabs>
        <w:tab w:val="center" w:pos="4677"/>
        <w:tab w:val="right" w:pos="9355"/>
      </w:tabs>
    </w:pPr>
    <w:rPr>
      <w:rFonts w:ascii="Calibri" w:eastAsia="Calibri" w:hAnsi="Calibri" w:cs="Calibri"/>
      <w:lang w:eastAsia="ar-SA"/>
    </w:rPr>
  </w:style>
  <w:style w:type="character" w:customStyle="1" w:styleId="a7">
    <w:name w:val="Нижний колонтитул Знак"/>
    <w:basedOn w:val="a0"/>
    <w:link w:val="a6"/>
    <w:rsid w:val="00083FA4"/>
    <w:rPr>
      <w:rFonts w:ascii="Calibri" w:eastAsia="Calibri" w:hAnsi="Calibri" w:cs="Calibri"/>
      <w:lang w:eastAsia="ar-SA"/>
    </w:rPr>
  </w:style>
  <w:style w:type="paragraph" w:styleId="a8">
    <w:name w:val="Body Text"/>
    <w:basedOn w:val="a"/>
    <w:link w:val="a9"/>
    <w:semiHidden/>
    <w:unhideWhenUsed/>
    <w:rsid w:val="00083FA4"/>
    <w:pPr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083FA4"/>
    <w:rPr>
      <w:rFonts w:ascii="Calibri" w:eastAsia="Calibri" w:hAnsi="Calibri" w:cs="Calibri"/>
      <w:lang w:eastAsia="ar-SA"/>
    </w:rPr>
  </w:style>
  <w:style w:type="paragraph" w:styleId="aa">
    <w:name w:val="List"/>
    <w:basedOn w:val="a8"/>
    <w:semiHidden/>
    <w:unhideWhenUsed/>
    <w:rsid w:val="00083FA4"/>
    <w:rPr>
      <w:rFonts w:cs="Tahoma"/>
    </w:rPr>
  </w:style>
  <w:style w:type="paragraph" w:styleId="ab">
    <w:name w:val="Subtitle"/>
    <w:basedOn w:val="a"/>
    <w:next w:val="a"/>
    <w:link w:val="ac"/>
    <w:qFormat/>
    <w:rsid w:val="00083F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083F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083FA4"/>
    <w:pPr>
      <w:spacing w:after="120"/>
      <w:ind w:left="283"/>
    </w:pPr>
    <w:rPr>
      <w:rFonts w:ascii="Calibri" w:eastAsia="Calibri" w:hAnsi="Calibri" w:cs="Times New Roman"/>
      <w:lang w:val="x-none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83FA4"/>
    <w:rPr>
      <w:rFonts w:ascii="Calibri" w:eastAsia="Calibri" w:hAnsi="Calibri" w:cs="Times New Roman"/>
      <w:lang w:val="x-none" w:eastAsia="ar-SA"/>
    </w:rPr>
  </w:style>
  <w:style w:type="paragraph" w:styleId="af">
    <w:name w:val="Balloon Text"/>
    <w:basedOn w:val="a"/>
    <w:link w:val="af0"/>
    <w:uiPriority w:val="99"/>
    <w:unhideWhenUsed/>
    <w:rsid w:val="00083FA4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rsid w:val="00083FA4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af1">
    <w:name w:val="No Spacing"/>
    <w:uiPriority w:val="1"/>
    <w:qFormat/>
    <w:rsid w:val="00083FA4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2">
    <w:name w:val="List Paragraph"/>
    <w:basedOn w:val="a"/>
    <w:uiPriority w:val="34"/>
    <w:qFormat/>
    <w:rsid w:val="00083F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3">
    <w:name w:val="Заголовок"/>
    <w:basedOn w:val="a"/>
    <w:next w:val="a8"/>
    <w:rsid w:val="00083FA4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7">
    <w:name w:val="Название7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6">
    <w:name w:val="Название6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5">
    <w:name w:val="Название5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4">
    <w:name w:val="Название4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3">
    <w:name w:val="Название3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2">
    <w:name w:val="Название2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12">
    <w:name w:val="Название1"/>
    <w:basedOn w:val="a"/>
    <w:rsid w:val="00083FA4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83FA4"/>
    <w:pPr>
      <w:suppressLineNumbers/>
    </w:pPr>
    <w:rPr>
      <w:rFonts w:ascii="Calibri" w:eastAsia="Calibri" w:hAnsi="Calibri" w:cs="Tahoma"/>
      <w:lang w:eastAsia="ar-SA"/>
    </w:rPr>
  </w:style>
  <w:style w:type="paragraph" w:customStyle="1" w:styleId="af4">
    <w:name w:val="Содержимое таблицы"/>
    <w:basedOn w:val="a"/>
    <w:rsid w:val="00083FA4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5">
    <w:name w:val="Заголовок таблицы"/>
    <w:basedOn w:val="af4"/>
    <w:rsid w:val="00083FA4"/>
    <w:pPr>
      <w:jc w:val="center"/>
    </w:pPr>
    <w:rPr>
      <w:b/>
      <w:bCs/>
    </w:rPr>
  </w:style>
  <w:style w:type="paragraph" w:customStyle="1" w:styleId="af6">
    <w:name w:val="Содержимое врезки"/>
    <w:basedOn w:val="a8"/>
    <w:rsid w:val="00083FA4"/>
  </w:style>
  <w:style w:type="paragraph" w:customStyle="1" w:styleId="af7">
    <w:name w:val="Комментарий"/>
    <w:basedOn w:val="a"/>
    <w:next w:val="a"/>
    <w:uiPriority w:val="99"/>
    <w:rsid w:val="00083FA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ConsPlusNormal">
    <w:name w:val="ConsPlusNormal"/>
    <w:rsid w:val="00083F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W8Num1z0">
    <w:name w:val="WW8Num1z0"/>
    <w:rsid w:val="00083FA4"/>
    <w:rPr>
      <w:rFonts w:ascii="Symbol" w:hAnsi="Symbol" w:hint="default"/>
    </w:rPr>
  </w:style>
  <w:style w:type="character" w:customStyle="1" w:styleId="WW8Num2z0">
    <w:name w:val="WW8Num2z0"/>
    <w:rsid w:val="00083FA4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083FA4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083FA4"/>
    <w:rPr>
      <w:rFonts w:ascii="Times New Roman" w:hAnsi="Times New Roman" w:cs="Times New Roman" w:hint="default"/>
    </w:rPr>
  </w:style>
  <w:style w:type="character" w:customStyle="1" w:styleId="WW8Num5z0">
    <w:name w:val="WW8Num5z0"/>
    <w:rsid w:val="00083FA4"/>
    <w:rPr>
      <w:rFonts w:ascii="Times New Roman" w:eastAsia="Calibri" w:hAnsi="Times New Roman" w:cs="Times New Roman" w:hint="default"/>
    </w:rPr>
  </w:style>
  <w:style w:type="character" w:customStyle="1" w:styleId="WW8Num6z0">
    <w:name w:val="WW8Num6z0"/>
    <w:rsid w:val="00083FA4"/>
    <w:rPr>
      <w:rFonts w:ascii="Times New Roman" w:eastAsia="Calibri" w:hAnsi="Times New Roman" w:cs="Times New Roman" w:hint="default"/>
    </w:rPr>
  </w:style>
  <w:style w:type="character" w:customStyle="1" w:styleId="Absatz-Standardschriftart">
    <w:name w:val="Absatz-Standardschriftart"/>
    <w:rsid w:val="00083FA4"/>
  </w:style>
  <w:style w:type="character" w:customStyle="1" w:styleId="WW8Num6z1">
    <w:name w:val="WW8Num6z1"/>
    <w:rsid w:val="00083FA4"/>
    <w:rPr>
      <w:rFonts w:ascii="Courier New" w:hAnsi="Courier New" w:cs="Courier New" w:hint="default"/>
    </w:rPr>
  </w:style>
  <w:style w:type="character" w:customStyle="1" w:styleId="WW8Num6z2">
    <w:name w:val="WW8Num6z2"/>
    <w:rsid w:val="00083FA4"/>
    <w:rPr>
      <w:rFonts w:ascii="Wingdings" w:hAnsi="Wingdings" w:hint="default"/>
    </w:rPr>
  </w:style>
  <w:style w:type="character" w:customStyle="1" w:styleId="WW8Num6z3">
    <w:name w:val="WW8Num6z3"/>
    <w:rsid w:val="00083FA4"/>
    <w:rPr>
      <w:rFonts w:ascii="Symbol" w:hAnsi="Symbol" w:hint="default"/>
    </w:rPr>
  </w:style>
  <w:style w:type="character" w:customStyle="1" w:styleId="71">
    <w:name w:val="Основной шрифт абзаца7"/>
    <w:rsid w:val="00083FA4"/>
  </w:style>
  <w:style w:type="character" w:customStyle="1" w:styleId="WW8Num5z1">
    <w:name w:val="WW8Num5z1"/>
    <w:rsid w:val="00083FA4"/>
    <w:rPr>
      <w:rFonts w:ascii="Courier New" w:hAnsi="Courier New" w:cs="Courier New" w:hint="default"/>
    </w:rPr>
  </w:style>
  <w:style w:type="character" w:customStyle="1" w:styleId="WW8Num5z2">
    <w:name w:val="WW8Num5z2"/>
    <w:rsid w:val="00083FA4"/>
    <w:rPr>
      <w:rFonts w:ascii="Wingdings" w:hAnsi="Wingdings" w:hint="default"/>
    </w:rPr>
  </w:style>
  <w:style w:type="character" w:customStyle="1" w:styleId="WW8Num5z3">
    <w:name w:val="WW8Num5z3"/>
    <w:rsid w:val="00083FA4"/>
    <w:rPr>
      <w:rFonts w:ascii="Symbol" w:hAnsi="Symbol" w:hint="default"/>
    </w:rPr>
  </w:style>
  <w:style w:type="character" w:customStyle="1" w:styleId="61">
    <w:name w:val="Основной шрифт абзаца6"/>
    <w:rsid w:val="00083FA4"/>
  </w:style>
  <w:style w:type="character" w:customStyle="1" w:styleId="51">
    <w:name w:val="Основной шрифт абзаца5"/>
    <w:rsid w:val="00083FA4"/>
  </w:style>
  <w:style w:type="character" w:customStyle="1" w:styleId="41">
    <w:name w:val="Основной шрифт абзаца4"/>
    <w:rsid w:val="00083FA4"/>
  </w:style>
  <w:style w:type="character" w:customStyle="1" w:styleId="WW-Absatz-Standardschriftart">
    <w:name w:val="WW-Absatz-Standardschriftart"/>
    <w:rsid w:val="00083FA4"/>
  </w:style>
  <w:style w:type="character" w:customStyle="1" w:styleId="WW-Absatz-Standardschriftart1">
    <w:name w:val="WW-Absatz-Standardschriftart1"/>
    <w:rsid w:val="00083FA4"/>
  </w:style>
  <w:style w:type="character" w:customStyle="1" w:styleId="WW-Absatz-Standardschriftart11">
    <w:name w:val="WW-Absatz-Standardschriftart11"/>
    <w:rsid w:val="00083FA4"/>
  </w:style>
  <w:style w:type="character" w:customStyle="1" w:styleId="WW-Absatz-Standardschriftart111">
    <w:name w:val="WW-Absatz-Standardschriftart111"/>
    <w:rsid w:val="00083FA4"/>
  </w:style>
  <w:style w:type="character" w:customStyle="1" w:styleId="WW-Absatz-Standardschriftart1111">
    <w:name w:val="WW-Absatz-Standardschriftart1111"/>
    <w:rsid w:val="00083FA4"/>
  </w:style>
  <w:style w:type="character" w:customStyle="1" w:styleId="31">
    <w:name w:val="Основной шрифт абзаца3"/>
    <w:rsid w:val="00083FA4"/>
  </w:style>
  <w:style w:type="character" w:customStyle="1" w:styleId="WW8Num1z1">
    <w:name w:val="WW8Num1z1"/>
    <w:rsid w:val="00083FA4"/>
    <w:rPr>
      <w:rFonts w:ascii="Courier New" w:hAnsi="Courier New" w:cs="Courier New" w:hint="default"/>
    </w:rPr>
  </w:style>
  <w:style w:type="character" w:customStyle="1" w:styleId="WW8Num1z2">
    <w:name w:val="WW8Num1z2"/>
    <w:rsid w:val="00083FA4"/>
    <w:rPr>
      <w:rFonts w:ascii="Wingdings" w:hAnsi="Wingdings" w:hint="default"/>
    </w:rPr>
  </w:style>
  <w:style w:type="character" w:customStyle="1" w:styleId="21">
    <w:name w:val="Основной шрифт абзаца2"/>
    <w:rsid w:val="00083FA4"/>
  </w:style>
  <w:style w:type="character" w:customStyle="1" w:styleId="14">
    <w:name w:val="Основной шрифт абзаца1"/>
    <w:rsid w:val="00083FA4"/>
  </w:style>
  <w:style w:type="character" w:customStyle="1" w:styleId="af8">
    <w:name w:val="Маркеры списка"/>
    <w:rsid w:val="00083FA4"/>
    <w:rPr>
      <w:rFonts w:ascii="StarSymbol" w:eastAsia="StarSymbol" w:hAnsi="StarSymbol" w:cs="StarSymbol" w:hint="eastAsia"/>
      <w:sz w:val="18"/>
      <w:szCs w:val="18"/>
    </w:rPr>
  </w:style>
  <w:style w:type="paragraph" w:styleId="af9">
    <w:name w:val="Title"/>
    <w:basedOn w:val="a"/>
    <w:next w:val="a"/>
    <w:link w:val="afa"/>
    <w:qFormat/>
    <w:rsid w:val="00083F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083F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b">
    <w:name w:val="Table Grid"/>
    <w:basedOn w:val="a1"/>
    <w:uiPriority w:val="59"/>
    <w:rsid w:val="0008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083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083F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083F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rsid w:val="00083FA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basedOn w:val="21"/>
    <w:semiHidden/>
    <w:rsid w:val="00F72521"/>
  </w:style>
  <w:style w:type="numbering" w:customStyle="1" w:styleId="110">
    <w:name w:val="Нет списка11"/>
    <w:next w:val="a2"/>
    <w:uiPriority w:val="99"/>
    <w:semiHidden/>
    <w:unhideWhenUsed/>
    <w:rsid w:val="00F72521"/>
  </w:style>
  <w:style w:type="table" w:customStyle="1" w:styleId="410">
    <w:name w:val="Сетка таблицы41"/>
    <w:basedOn w:val="a1"/>
    <w:next w:val="afb"/>
    <w:rsid w:val="00F7252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11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161611191919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212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13131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sk\Desktop\&#1086;&#1090;&#1095;&#1077;&#1090;%20&#1086;&#1073;%20&#1080;&#1089;&#1087;&#1086;&#1083;&#1085;&#1077;&#1085;&#1080;&#1080;%20&#1073;&#1102;&#1076;&#1078;&#1077;&#1090;&#1072;%20&#1076;&#1086;&#1093;&#1086;&#1076;&#1099;%202009%20&#1075;&#1086;&#1076;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11111111111111114141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1212121212121115151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13131313131116161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141414141117171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1515151118181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6.597261466718574E-4"/>
          <c:y val="0"/>
        </c:manualLayout>
      </c:layout>
      <c:overlay val="0"/>
      <c:txPr>
        <a:bodyPr/>
        <a:lstStyle/>
        <a:p>
          <a:pPr>
            <a:defRPr sz="1000" baseline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Лист1!$J$83</c:f>
              <c:strCache>
                <c:ptCount val="1"/>
                <c:pt idx="0">
                  <c:v>Фактическое исполнение бюджета по налоговым платежам 2018 года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dLbl>
              <c:idx val="0"/>
              <c:layout>
                <c:manualLayout>
                  <c:x val="0.10992913385826772"/>
                  <c:y val="-0.1056510644502770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доходы 
68,5%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162762130502631"/>
                  <c:y val="5.5975503062117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ЕНВД
6,6%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единый с/х налог
2,4%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0797445246620466E-2"/>
                  <c:y val="-0.1729516217880172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
11,4%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1681175491727619"/>
                  <c:y val="-3.97534104533229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государственная пошлина
1,8%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26364373591356233"/>
                  <c:y val="-3.59479602086775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налоговые доходы
6,3%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Лист1!$K$82:$Q$82</c:f>
              <c:strCache>
                <c:ptCount val="7"/>
                <c:pt idx="0">
                  <c:v>налог на доходы </c:v>
                </c:pt>
                <c:pt idx="1">
                  <c:v>ЕНВД</c:v>
                </c:pt>
                <c:pt idx="2">
                  <c:v>единый с/х налог</c:v>
                </c:pt>
                <c:pt idx="3">
                  <c:v>налог на имущество физических лиц 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Прочие налоговые доходы</c:v>
                </c:pt>
              </c:strCache>
            </c:strRef>
          </c:cat>
          <c:val>
            <c:numRef>
              <c:f>Лист1!$K$83:$Q$83</c:f>
              <c:numCache>
                <c:formatCode>0.0</c:formatCode>
                <c:ptCount val="7"/>
                <c:pt idx="0">
                  <c:v>453954</c:v>
                </c:pt>
                <c:pt idx="1">
                  <c:v>43795.5</c:v>
                </c:pt>
                <c:pt idx="2">
                  <c:v>16223.9</c:v>
                </c:pt>
                <c:pt idx="3">
                  <c:v>19031.400000000001</c:v>
                </c:pt>
                <c:pt idx="4">
                  <c:v>75298.7</c:v>
                </c:pt>
                <c:pt idx="5">
                  <c:v>12162.9</c:v>
                </c:pt>
                <c:pt idx="6" formatCode="0">
                  <c:v>41409.599999999999</c:v>
                </c:pt>
              </c:numCache>
            </c:numRef>
          </c:val>
        </c:ser>
        <c:ser>
          <c:idx val="1"/>
          <c:order val="1"/>
          <c:tx>
            <c:strRef>
              <c:f>Лист1!$J$84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cat>
            <c:strRef>
              <c:f>Лист1!$K$82:$Q$82</c:f>
              <c:strCache>
                <c:ptCount val="7"/>
                <c:pt idx="0">
                  <c:v>налог на доходы </c:v>
                </c:pt>
                <c:pt idx="1">
                  <c:v>ЕНВД</c:v>
                </c:pt>
                <c:pt idx="2">
                  <c:v>единый с/х налог</c:v>
                </c:pt>
                <c:pt idx="3">
                  <c:v>налог на имущество физических лиц 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Прочие налоговые доходы</c:v>
                </c:pt>
              </c:strCache>
            </c:strRef>
          </c:cat>
          <c:val>
            <c:numRef>
              <c:f>Лист1!$K$84:$Q$84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Пенсионное обеспечение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7146.9</c:v>
                </c:pt>
                <c:pt idx="1">
                  <c:v>7564.5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Социальное обеспечение населения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64978.5</c:v>
                </c:pt>
                <c:pt idx="1">
                  <c:v>60220.9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Охрана семьи и детства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29636048526862E-2"/>
                  <c:y val="-3.956478733926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3240740740740741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34527.699999999997</c:v>
                </c:pt>
                <c:pt idx="1">
                  <c:v>32850.800000000003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вопросы в области социальной политики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852686308492201E-2"/>
                  <c:y val="-1.1869436201780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1">
                  <c:v>7790.5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2143488"/>
        <c:axId val="142145024"/>
        <c:axId val="142252224"/>
      </c:bar3DChart>
      <c:catAx>
        <c:axId val="142143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2145024"/>
        <c:crosses val="autoZero"/>
        <c:auto val="1"/>
        <c:lblAlgn val="ctr"/>
        <c:lblOffset val="100"/>
        <c:noMultiLvlLbl val="0"/>
      </c:catAx>
      <c:valAx>
        <c:axId val="14214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143488"/>
        <c:crosses val="autoZero"/>
        <c:crossBetween val="between"/>
      </c:valAx>
      <c:serAx>
        <c:axId val="142252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2145024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951048951048951"/>
          <c:y val="0.23853211009174313"/>
          <c:w val="0.21153846153846154"/>
          <c:h val="0.2201834862385321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3198428867720216E-2"/>
                  <c:y val="2.88275662789857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и неналоговые  доходы города
51,5%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layout>
                <c:manualLayout>
                  <c:x val="-7.344566194959895E-2"/>
                  <c:y val="0.2026786101278624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и безвозвратные поступления 
48,5%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Лист1!$E$18:$G$18</c:f>
              <c:strCache>
                <c:ptCount val="3"/>
                <c:pt idx="0">
                  <c:v>Налоговые и неналоговые  доходы города</c:v>
                </c:pt>
                <c:pt idx="2">
                  <c:v>Безвозмездные и безвозвратные поступления </c:v>
                </c:pt>
              </c:strCache>
            </c:strRef>
          </c:cat>
          <c:val>
            <c:numRef>
              <c:f>Лист1!$E$19:$G$19</c:f>
              <c:numCache>
                <c:formatCode>General</c:formatCode>
                <c:ptCount val="3"/>
                <c:pt idx="0">
                  <c:v>807089.2</c:v>
                </c:pt>
                <c:pt idx="2">
                  <c:v>725359.3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18356643356643357"/>
          <c:y val="0.72935779816513757"/>
          <c:w val="0.81643356643356646"/>
          <c:h val="8.643887403982758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0985691573926868"/>
          <c:y val="4.7765829465576143E-2"/>
          <c:w val="0.7678855325914149"/>
          <c:h val="0.650231614015262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Лист1!$J$76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Лист1!$K$75:$R$75</c:f>
              <c:strCache>
                <c:ptCount val="8"/>
                <c:pt idx="0">
                  <c:v>Налоговые доходы</c:v>
                </c:pt>
                <c:pt idx="1">
                  <c:v>налог на доходы </c:v>
                </c:pt>
                <c:pt idx="2">
                  <c:v>ЕНВД</c:v>
                </c:pt>
                <c:pt idx="3">
                  <c:v>единый с/х налог</c:v>
                </c:pt>
                <c:pt idx="4">
                  <c:v>налог на имущество физических лиц 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акцизы</c:v>
                </c:pt>
              </c:strCache>
            </c:strRef>
          </c:cat>
          <c:val>
            <c:numRef>
              <c:f>Лист1!$K$76:$R$76</c:f>
              <c:numCache>
                <c:formatCode>General</c:formatCode>
                <c:ptCount val="8"/>
                <c:pt idx="0">
                  <c:v>662233.9</c:v>
                </c:pt>
                <c:pt idx="1">
                  <c:v>461320.3</c:v>
                </c:pt>
                <c:pt idx="2">
                  <c:v>46410.6</c:v>
                </c:pt>
                <c:pt idx="3">
                  <c:v>12834.2</c:v>
                </c:pt>
                <c:pt idx="4">
                  <c:v>17666.099999999999</c:v>
                </c:pt>
                <c:pt idx="5">
                  <c:v>81744.899999999994</c:v>
                </c:pt>
                <c:pt idx="6">
                  <c:v>7839</c:v>
                </c:pt>
                <c:pt idx="7" formatCode="0.0">
                  <c:v>30994.799999999999</c:v>
                </c:pt>
              </c:numCache>
            </c:numRef>
          </c:val>
        </c:ser>
        <c:ser>
          <c:idx val="1"/>
          <c:order val="1"/>
          <c:tx>
            <c:strRef>
              <c:f>Лист1!$J$77</c:f>
              <c:strCache>
                <c:ptCount val="1"/>
                <c:pt idx="0">
                  <c:v>Фактическое исполнение бюджета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Лист1!$K$75:$R$75</c:f>
              <c:strCache>
                <c:ptCount val="8"/>
                <c:pt idx="0">
                  <c:v>Налоговые доходы</c:v>
                </c:pt>
                <c:pt idx="1">
                  <c:v>налог на доходы </c:v>
                </c:pt>
                <c:pt idx="2">
                  <c:v>ЕНВД</c:v>
                </c:pt>
                <c:pt idx="3">
                  <c:v>единый с/х налог</c:v>
                </c:pt>
                <c:pt idx="4">
                  <c:v>налог на имущество физических лиц 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акцизы</c:v>
                </c:pt>
              </c:strCache>
            </c:strRef>
          </c:cat>
          <c:val>
            <c:numRef>
              <c:f>Лист1!$K$77:$R$77</c:f>
              <c:numCache>
                <c:formatCode>0.0</c:formatCode>
                <c:ptCount val="8"/>
                <c:pt idx="0" formatCode="0">
                  <c:v>661876</c:v>
                </c:pt>
                <c:pt idx="1">
                  <c:v>453954</c:v>
                </c:pt>
                <c:pt idx="2">
                  <c:v>43795.5</c:v>
                </c:pt>
                <c:pt idx="3">
                  <c:v>16223.9</c:v>
                </c:pt>
                <c:pt idx="4">
                  <c:v>19031.400000000001</c:v>
                </c:pt>
                <c:pt idx="5">
                  <c:v>75298.7</c:v>
                </c:pt>
                <c:pt idx="6">
                  <c:v>12162.9</c:v>
                </c:pt>
                <c:pt idx="7" formatCode="General">
                  <c:v>38953.5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270848"/>
        <c:axId val="133840896"/>
      </c:barChart>
      <c:catAx>
        <c:axId val="6027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840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8408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27084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570747217806043"/>
          <c:y val="0.95531651763868497"/>
          <c:w val="0.59618441971383151"/>
          <c:h val="3.389830508474578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Лист1!$R$82:$W$82</c:f>
              <c:strCache>
                <c:ptCount val="6"/>
                <c:pt idx="0">
                  <c:v>доходы получаемые в виде арендной или иной платы от передачи имущества </c:v>
                </c:pt>
                <c:pt idx="1">
                  <c:v> доходы от использования имущества</c:v>
                </c:pt>
                <c:pt idx="2">
                  <c:v> доходы от продажи материальных и нематериальных активов</c:v>
                </c:pt>
                <c:pt idx="3">
                  <c:v>доходы от перечисления части прибыли</c:v>
                </c:pt>
                <c:pt idx="4">
                  <c:v>доходы от оказания платных услуг</c:v>
                </c:pt>
                <c:pt idx="5">
                  <c:v>платежи при пользовании природными ресурсами</c:v>
                </c:pt>
              </c:strCache>
            </c:strRef>
          </c:cat>
          <c:val>
            <c:numRef>
              <c:f>Лист1!$R$83:$W$83</c:f>
              <c:numCache>
                <c:formatCode>0.0</c:formatCode>
                <c:ptCount val="6"/>
                <c:pt idx="0">
                  <c:v>98049.7</c:v>
                </c:pt>
                <c:pt idx="1">
                  <c:v>3425.2</c:v>
                </c:pt>
                <c:pt idx="2" formatCode="General">
                  <c:v>10790</c:v>
                </c:pt>
                <c:pt idx="3" formatCode="General">
                  <c:v>1715.3</c:v>
                </c:pt>
                <c:pt idx="4" formatCode="General">
                  <c:v>11080.5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Лист1!$R$82:$W$82</c:f>
              <c:strCache>
                <c:ptCount val="6"/>
                <c:pt idx="0">
                  <c:v>доходы получаемые в виде арендной или иной платы от передачи имущества </c:v>
                </c:pt>
                <c:pt idx="1">
                  <c:v> доходы от использования имущества</c:v>
                </c:pt>
                <c:pt idx="2">
                  <c:v> доходы от продажи материальных и нематериальных активов</c:v>
                </c:pt>
                <c:pt idx="3">
                  <c:v>доходы от перечисления части прибыли</c:v>
                </c:pt>
                <c:pt idx="4">
                  <c:v>доходы от оказания платных услуг</c:v>
                </c:pt>
                <c:pt idx="5">
                  <c:v>платежи при пользовании природными ресурсами</c:v>
                </c:pt>
              </c:strCache>
            </c:strRef>
          </c:cat>
          <c:val>
            <c:numRef>
              <c:f>Лист1!$R$84:$W$84</c:f>
              <c:numCache>
                <c:formatCode>General</c:formatCode>
                <c:ptCount val="6"/>
                <c:pt idx="5" formatCode="0">
                  <c:v>1981.9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572637795275591"/>
          <c:y val="2.2918489355497197E-3"/>
          <c:w val="0.33427362204724409"/>
          <c:h val="0.8102307524059492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258967629046371E-2"/>
          <c:y val="0.21157279921015459"/>
          <c:w val="0.53580353618588372"/>
          <c:h val="0.753080445949842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</c:v>
                </c:pt>
              </c:strCache>
            </c:strRef>
          </c:tx>
          <c:explosion val="25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расходы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10.6</c:v>
                </c:pt>
                <c:pt idx="1">
                  <c:v>0.6</c:v>
                </c:pt>
                <c:pt idx="2">
                  <c:v>6.7</c:v>
                </c:pt>
                <c:pt idx="3">
                  <c:v>9.3000000000000007</c:v>
                </c:pt>
                <c:pt idx="4">
                  <c:v>56.5</c:v>
                </c:pt>
                <c:pt idx="5">
                  <c:v>6.5</c:v>
                </c:pt>
                <c:pt idx="6">
                  <c:v>6.5</c:v>
                </c:pt>
                <c:pt idx="7">
                  <c:v>2.8</c:v>
                </c:pt>
                <c:pt idx="8">
                  <c:v>0.2</c:v>
                </c:pt>
                <c:pt idx="9">
                  <c:v>0.2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Функционирование высшего должностного лица  субъекта РФ и муниципальных образований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1202.3</c:v>
                </c:pt>
                <c:pt idx="1">
                  <c:v>1576.2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Функционирование законодательных (представительных) органов государственной власти и представительных органов муниципальных образований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1642.4</c:v>
                </c:pt>
                <c:pt idx="1">
                  <c:v>1664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Функционирование Правительства РФ, высших органовгосударственной власти субъектов РФ, местных администраций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57823.1</c:v>
                </c:pt>
                <c:pt idx="1">
                  <c:v>49684.9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судебная система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1">
                  <c:v>635.6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Обеспечение деятельности финансовых, налоговых и таможенных органов и органов финансового (финансово-бюджетного) надзора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9105</c:v>
                </c:pt>
                <c:pt idx="1">
                  <c:v>9360.7999999999993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Другие общегосударственные вопросы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102454</c:v>
                </c:pt>
                <c:pt idx="1">
                  <c:v>113915.5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1820288"/>
        <c:axId val="141821824"/>
        <c:axId val="142176256"/>
      </c:bar3DChart>
      <c:catAx>
        <c:axId val="141820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1821824"/>
        <c:crosses val="autoZero"/>
        <c:auto val="1"/>
        <c:lblAlgn val="ctr"/>
        <c:lblOffset val="100"/>
        <c:noMultiLvlLbl val="0"/>
      </c:catAx>
      <c:valAx>
        <c:axId val="14182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820288"/>
        <c:crosses val="autoZero"/>
        <c:crossBetween val="between"/>
      </c:valAx>
      <c:serAx>
        <c:axId val="142176256"/>
        <c:scaling>
          <c:orientation val="minMax"/>
        </c:scaling>
        <c:delete val="1"/>
        <c:axPos val="b"/>
        <c:majorTickMark val="out"/>
        <c:minorTickMark val="none"/>
        <c:tickLblPos val="nextTo"/>
        <c:crossAx val="141821824"/>
        <c:crosses val="autoZero"/>
      </c:serAx>
    </c:plotArea>
    <c:legend>
      <c:legendPos val="r"/>
      <c:layout>
        <c:manualLayout>
          <c:xMode val="edge"/>
          <c:yMode val="edge"/>
          <c:x val="0.6623483640107688"/>
          <c:y val="0.15131526855232483"/>
          <c:w val="0.33710965904542833"/>
          <c:h val="0.8486848127270999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Защита населения и территории от чрезвычайных ситуаций природного и техногенного характера, гражданская оборона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4153.5</c:v>
                </c:pt>
                <c:pt idx="1">
                  <c:v>3777.3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Другие вопросы в области национальной безопасности и правоохранительной деятельности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7382.6</c:v>
                </c:pt>
                <c:pt idx="1">
                  <c:v>7224.8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2083200"/>
        <c:axId val="142084736"/>
        <c:axId val="142178048"/>
      </c:bar3DChart>
      <c:catAx>
        <c:axId val="142083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2084736"/>
        <c:crosses val="autoZero"/>
        <c:auto val="1"/>
        <c:lblAlgn val="ctr"/>
        <c:lblOffset val="100"/>
        <c:noMultiLvlLbl val="0"/>
      </c:catAx>
      <c:valAx>
        <c:axId val="14208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083200"/>
        <c:crosses val="autoZero"/>
        <c:crossBetween val="between"/>
      </c:valAx>
      <c:serAx>
        <c:axId val="142178048"/>
        <c:scaling>
          <c:orientation val="minMax"/>
        </c:scaling>
        <c:delete val="1"/>
        <c:axPos val="b"/>
        <c:majorTickMark val="out"/>
        <c:minorTickMark val="none"/>
        <c:tickLblPos val="nextTo"/>
        <c:crossAx val="1420847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Жилищное хозяйство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1525.4</c:v>
                </c:pt>
                <c:pt idx="1">
                  <c:v>797.9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3333333333333334E-2"/>
                  <c:y val="6.511627906976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42198</c:v>
                </c:pt>
                <c:pt idx="1">
                  <c:v>41263.800000000003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Благоустройство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80999.3</c:v>
                </c:pt>
                <c:pt idx="1">
                  <c:v>102353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 вопросы в области жилищно-коммунального хозяйства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333333333333333E-2"/>
                  <c:y val="-1.2403100775193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666666666666745E-2"/>
                  <c:y val="-9.30232558139534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9903.1</c:v>
                </c:pt>
                <c:pt idx="1">
                  <c:v>10451.6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2117504"/>
        <c:axId val="142222848"/>
        <c:axId val="142178496"/>
      </c:bar3DChart>
      <c:catAx>
        <c:axId val="142117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2222848"/>
        <c:crosses val="autoZero"/>
        <c:auto val="1"/>
        <c:lblAlgn val="ctr"/>
        <c:lblOffset val="100"/>
        <c:noMultiLvlLbl val="0"/>
      </c:catAx>
      <c:valAx>
        <c:axId val="14222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117504"/>
        <c:crosses val="autoZero"/>
        <c:crossBetween val="between"/>
      </c:valAx>
      <c:serAx>
        <c:axId val="142178496"/>
        <c:scaling>
          <c:orientation val="minMax"/>
        </c:scaling>
        <c:delete val="1"/>
        <c:axPos val="b"/>
        <c:majorTickMark val="out"/>
        <c:minorTickMark val="none"/>
        <c:tickLblPos val="nextTo"/>
        <c:crossAx val="142222848"/>
        <c:crosses val="autoZero"/>
      </c:ser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238520.8</c:v>
                </c:pt>
                <c:pt idx="1">
                  <c:v>238520.8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образование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503989.7</c:v>
                </c:pt>
                <c:pt idx="1">
                  <c:v>503989.7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Молодежная политика и оздоровление детей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28367.8</c:v>
                </c:pt>
                <c:pt idx="1">
                  <c:v>28367.8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вопросы в области образования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77785359152463E-2"/>
                  <c:y val="-6.737789823749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25167.1</c:v>
                </c:pt>
                <c:pt idx="1">
                  <c:v>25167.1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Дополнительное образование детей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84980.6</c:v>
                </c:pt>
                <c:pt idx="1">
                  <c:v>84980.6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3500800"/>
        <c:axId val="143502336"/>
        <c:axId val="59476608"/>
      </c:bar3DChart>
      <c:catAx>
        <c:axId val="143500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3502336"/>
        <c:crosses val="autoZero"/>
        <c:auto val="1"/>
        <c:lblAlgn val="ctr"/>
        <c:lblOffset val="100"/>
        <c:noMultiLvlLbl val="0"/>
      </c:catAx>
      <c:valAx>
        <c:axId val="14350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500800"/>
        <c:crosses val="autoZero"/>
        <c:crossBetween val="between"/>
      </c:valAx>
      <c:serAx>
        <c:axId val="5947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43502336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94C7-CE12-4CB8-9FB7-28E3925D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3979</TotalTime>
  <Pages>42</Pages>
  <Words>15215</Words>
  <Characters>86728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95</cp:revision>
  <cp:lastPrinted>2019-05-23T04:17:00Z</cp:lastPrinted>
  <dcterms:created xsi:type="dcterms:W3CDTF">2019-04-18T12:27:00Z</dcterms:created>
  <dcterms:modified xsi:type="dcterms:W3CDTF">2019-06-06T04:00:00Z</dcterms:modified>
</cp:coreProperties>
</file>